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F526" w14:textId="1AF3A924" w:rsidR="00A117EA" w:rsidRPr="00392E0D" w:rsidRDefault="00A117EA" w:rsidP="002D6FDC">
      <w:pPr>
        <w:pStyle w:val="Body"/>
        <w:rPr>
          <w:rFonts w:cs="Arial"/>
        </w:rPr>
      </w:pPr>
      <w:r w:rsidRPr="00392E0D">
        <w:rPr>
          <w:rFonts w:cs="Arial"/>
          <w:noProof/>
        </w:rPr>
        <w:drawing>
          <wp:inline distT="0" distB="0" distL="0" distR="0" wp14:anchorId="3207A620" wp14:editId="062EF1E2">
            <wp:extent cx="1480742" cy="756000"/>
            <wp:effectExtent l="0" t="0" r="5715" b="6350"/>
            <wp:docPr id="6" name="Picture 6" descr="Australian Early Development Census logo.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D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742" cy="756000"/>
                    </a:xfrm>
                    <a:prstGeom prst="rect">
                      <a:avLst/>
                    </a:prstGeom>
                  </pic:spPr>
                </pic:pic>
              </a:graphicData>
            </a:graphic>
          </wp:inline>
        </w:drawing>
      </w:r>
    </w:p>
    <w:p w14:paraId="1401D5C6" w14:textId="1B81F917" w:rsidR="00A117EA" w:rsidRPr="00392E0D" w:rsidRDefault="00A117EA" w:rsidP="00AE5C18">
      <w:pPr>
        <w:pStyle w:val="Body"/>
        <w:spacing w:before="600"/>
        <w:rPr>
          <w:rFonts w:cs="Arial"/>
        </w:rPr>
      </w:pPr>
      <w:r w:rsidRPr="00392E0D">
        <w:rPr>
          <w:rFonts w:cs="Arial"/>
          <w:noProof/>
        </w:rPr>
        <w:drawing>
          <wp:inline distT="0" distB="0" distL="0" distR="0" wp14:anchorId="643D9908" wp14:editId="79DB7A01">
            <wp:extent cx="1558402" cy="756000"/>
            <wp:effectExtent l="0" t="0" r="3810" b="6350"/>
            <wp:docPr id="7" name="Picture 7" descr="Our Children&#10;Our Communities&#10;Ou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EDC tagline_blo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402" cy="756000"/>
                    </a:xfrm>
                    <a:prstGeom prst="rect">
                      <a:avLst/>
                    </a:prstGeom>
                  </pic:spPr>
                </pic:pic>
              </a:graphicData>
            </a:graphic>
          </wp:inline>
        </w:drawing>
      </w:r>
    </w:p>
    <w:p w14:paraId="542DCF90" w14:textId="739C43AB" w:rsidR="003D7535" w:rsidRPr="00392E0D" w:rsidRDefault="003D7535" w:rsidP="00613F4D">
      <w:pPr>
        <w:pStyle w:val="MajorHeading"/>
      </w:pPr>
      <w:r w:rsidRPr="00392E0D">
        <w:t>Australian Early Development Census National Report 2021</w:t>
      </w:r>
    </w:p>
    <w:p w14:paraId="7BCE0074" w14:textId="2A85D712" w:rsidR="003D7535" w:rsidRPr="00392E0D" w:rsidRDefault="003D7535" w:rsidP="002D6FDC">
      <w:pPr>
        <w:spacing w:before="3000" w:after="120" w:line="264" w:lineRule="auto"/>
        <w:rPr>
          <w:rFonts w:ascii="Arial" w:hAnsi="Arial" w:cs="Arial"/>
        </w:rPr>
      </w:pPr>
      <w:r w:rsidRPr="00392E0D">
        <w:rPr>
          <w:rFonts w:ascii="Arial" w:hAnsi="Arial" w:cs="Arial"/>
        </w:rPr>
        <w:t>Early Childhood Development in Australia</w:t>
      </w:r>
    </w:p>
    <w:p w14:paraId="0394D050" w14:textId="77777777" w:rsidR="00A117EA" w:rsidRPr="00392E0D" w:rsidRDefault="00A117EA" w:rsidP="002D6FDC">
      <w:pPr>
        <w:spacing w:before="120" w:after="120" w:line="264" w:lineRule="auto"/>
        <w:rPr>
          <w:rFonts w:ascii="Arial" w:hAnsi="Arial" w:cs="Arial"/>
        </w:rPr>
      </w:pPr>
      <w:r w:rsidRPr="00392E0D">
        <w:rPr>
          <w:rFonts w:ascii="Arial" w:hAnsi="Arial" w:cs="Arial"/>
        </w:rPr>
        <w:t>© 2022 Commonwealth of Australia</w:t>
      </w:r>
    </w:p>
    <w:p w14:paraId="7CF6A4E7" w14:textId="79D6CE48" w:rsidR="00A117EA" w:rsidRPr="00392E0D" w:rsidRDefault="00A117EA" w:rsidP="002D6FDC">
      <w:pPr>
        <w:spacing w:before="120" w:after="120" w:line="264" w:lineRule="auto"/>
        <w:rPr>
          <w:rFonts w:ascii="Arial" w:hAnsi="Arial" w:cs="Arial"/>
        </w:rPr>
      </w:pPr>
      <w:r w:rsidRPr="00392E0D">
        <w:rPr>
          <w:rFonts w:ascii="Arial" w:hAnsi="Arial" w:cs="Arial"/>
        </w:rPr>
        <w:t>This work has been produced by the Department</w:t>
      </w:r>
      <w:r w:rsidR="002D6FDC" w:rsidRPr="00392E0D">
        <w:rPr>
          <w:rFonts w:ascii="Arial" w:hAnsi="Arial" w:cs="Arial"/>
        </w:rPr>
        <w:t xml:space="preserve"> </w:t>
      </w:r>
      <w:r w:rsidRPr="00392E0D">
        <w:rPr>
          <w:rFonts w:ascii="Arial" w:hAnsi="Arial" w:cs="Arial"/>
        </w:rPr>
        <w:t>of Education, Skills and Employment on behalf of the Australian Government.</w:t>
      </w:r>
    </w:p>
    <w:p w14:paraId="1D2124A3" w14:textId="77777777" w:rsidR="00A117EA" w:rsidRPr="00392E0D" w:rsidRDefault="00A117EA" w:rsidP="002D6FDC">
      <w:pPr>
        <w:spacing w:before="120" w:after="120" w:line="264" w:lineRule="auto"/>
        <w:rPr>
          <w:rFonts w:ascii="Arial" w:hAnsi="Arial" w:cs="Arial"/>
        </w:rPr>
      </w:pPr>
      <w:r w:rsidRPr="00392E0D">
        <w:rPr>
          <w:rFonts w:ascii="Arial" w:hAnsi="Arial" w:cs="Arial"/>
        </w:rPr>
        <w:t>Apart from any use permitted under the Copyright Act 1968, no part of this publication may be reproduced by any process without written permission. Requests should be made to the Department of Education, Skills and Employment.</w:t>
      </w:r>
    </w:p>
    <w:p w14:paraId="1B87384A" w14:textId="77777777" w:rsidR="00A117EA" w:rsidRPr="00392E0D" w:rsidRDefault="00A117EA" w:rsidP="002D6FDC">
      <w:pPr>
        <w:spacing w:before="120" w:after="120" w:line="264" w:lineRule="auto"/>
        <w:rPr>
          <w:rFonts w:ascii="Arial" w:hAnsi="Arial" w:cs="Arial"/>
        </w:rPr>
      </w:pPr>
      <w:r w:rsidRPr="00392E0D">
        <w:rPr>
          <w:rFonts w:ascii="Arial" w:hAnsi="Arial" w:cs="Arial"/>
        </w:rPr>
        <w:t>Cataloguing title: Australian Early Development Census National Report 2021</w:t>
      </w:r>
    </w:p>
    <w:p w14:paraId="2D8735C4" w14:textId="77777777" w:rsidR="00A117EA" w:rsidRPr="00392E0D" w:rsidRDefault="00A117EA" w:rsidP="002D6FDC">
      <w:pPr>
        <w:spacing w:before="120" w:after="120" w:line="264" w:lineRule="auto"/>
        <w:rPr>
          <w:rFonts w:ascii="Arial" w:hAnsi="Arial" w:cs="Arial"/>
        </w:rPr>
      </w:pPr>
      <w:r w:rsidRPr="00392E0D">
        <w:rPr>
          <w:rFonts w:ascii="Arial" w:hAnsi="Arial" w:cs="Arial"/>
        </w:rPr>
        <w:t>ISSN 2206-2831 (Print) ISSN 2206-284X (Online)</w:t>
      </w:r>
    </w:p>
    <w:p w14:paraId="37267399" w14:textId="77777777" w:rsidR="00A117EA" w:rsidRPr="00392E0D" w:rsidRDefault="00A117EA" w:rsidP="002D6FDC">
      <w:pPr>
        <w:spacing w:before="120" w:after="120" w:line="264" w:lineRule="auto"/>
        <w:rPr>
          <w:rFonts w:ascii="Arial" w:hAnsi="Arial" w:cs="Arial"/>
        </w:rPr>
      </w:pPr>
      <w:r w:rsidRPr="00392E0D">
        <w:rPr>
          <w:rFonts w:ascii="Arial" w:hAnsi="Arial" w:cs="Arial"/>
        </w:rPr>
        <w:t>Comments and suggestions regarding this publication are welcomed and should be forwarded to the Department of Education, Skills and Employment.</w:t>
      </w:r>
    </w:p>
    <w:p w14:paraId="592D94CA" w14:textId="77777777" w:rsidR="00A117EA" w:rsidRPr="00392E0D" w:rsidRDefault="00A117EA" w:rsidP="002D6FDC">
      <w:pPr>
        <w:spacing w:before="120" w:after="120" w:line="264" w:lineRule="auto"/>
        <w:rPr>
          <w:rFonts w:ascii="Arial" w:hAnsi="Arial" w:cs="Arial"/>
        </w:rPr>
      </w:pPr>
      <w:r w:rsidRPr="00392E0D">
        <w:rPr>
          <w:rFonts w:ascii="Arial" w:hAnsi="Arial" w:cs="Arial"/>
        </w:rPr>
        <w:t>Published by the Department of Education, Skills and Employment.</w:t>
      </w:r>
    </w:p>
    <w:p w14:paraId="78B44460" w14:textId="3374E007" w:rsidR="00A117EA" w:rsidRPr="00392E0D" w:rsidRDefault="00A117EA" w:rsidP="002D6FDC">
      <w:pPr>
        <w:spacing w:before="120" w:after="120" w:line="264" w:lineRule="auto"/>
        <w:rPr>
          <w:rFonts w:ascii="Arial" w:hAnsi="Arial" w:cs="Arial"/>
        </w:rPr>
      </w:pPr>
      <w:r w:rsidRPr="00392E0D">
        <w:rPr>
          <w:rFonts w:ascii="Arial" w:hAnsi="Arial" w:cs="Arial"/>
        </w:rPr>
        <w:t>50 Marcus Clark Street, Canberra ACT 2600 GPO Box 9880 Canberra, ACT 2601, Australia</w:t>
      </w:r>
      <w:r w:rsidR="002D6FDC" w:rsidRPr="00392E0D">
        <w:rPr>
          <w:rFonts w:ascii="Arial" w:hAnsi="Arial" w:cs="Arial"/>
        </w:rPr>
        <w:t xml:space="preserve"> </w:t>
      </w:r>
      <w:r w:rsidRPr="00392E0D">
        <w:rPr>
          <w:rFonts w:ascii="Arial" w:hAnsi="Arial" w:cs="Arial"/>
        </w:rPr>
        <w:t>www.dese.gov.au</w:t>
      </w:r>
    </w:p>
    <w:p w14:paraId="6B988F06" w14:textId="6DD76B63" w:rsidR="00A117EA" w:rsidRPr="00392E0D" w:rsidRDefault="00A117EA" w:rsidP="002D6FDC">
      <w:pPr>
        <w:spacing w:before="120" w:after="120" w:line="264" w:lineRule="auto"/>
        <w:rPr>
          <w:rFonts w:ascii="Arial" w:hAnsi="Arial" w:cs="Arial"/>
        </w:rPr>
      </w:pPr>
      <w:r w:rsidRPr="00392E0D">
        <w:rPr>
          <w:rFonts w:ascii="Arial" w:hAnsi="Arial" w:cs="Arial"/>
        </w:rPr>
        <w:t>Since 2002, the Australian Government has worked in partnership with eminent child health research institutes, The Centre for Community Child Health</w:t>
      </w:r>
      <w:r w:rsidR="002D6FDC" w:rsidRPr="00392E0D">
        <w:rPr>
          <w:rFonts w:ascii="Arial" w:hAnsi="Arial" w:cs="Arial"/>
        </w:rPr>
        <w:t xml:space="preserve"> </w:t>
      </w:r>
      <w:r w:rsidRPr="00392E0D">
        <w:rPr>
          <w:rFonts w:ascii="Arial" w:hAnsi="Arial" w:cs="Arial"/>
        </w:rPr>
        <w:t>at The Royal Children’s Hospital, Melbourne, and the Murdoch Children’s Research Institute, Melbourne, and the Telethon Kids Institute, Perth to deliver the Australian Early Development Census program to communities nationwide. The Australian Government continues to work with its partners, and with state and territory governments to implement the AEDC.</w:t>
      </w:r>
    </w:p>
    <w:p w14:paraId="4C6CE6A1" w14:textId="73E4624F" w:rsidR="00A117EA" w:rsidRPr="00392E0D" w:rsidRDefault="00A117EA">
      <w:pPr>
        <w:widowControl/>
        <w:autoSpaceDE/>
        <w:autoSpaceDN/>
        <w:rPr>
          <w:rFonts w:ascii="Arial" w:hAnsi="Arial" w:cs="Arial"/>
          <w:sz w:val="18"/>
          <w:szCs w:val="18"/>
        </w:rPr>
      </w:pPr>
      <w:r w:rsidRPr="00392E0D">
        <w:rPr>
          <w:rFonts w:ascii="Arial" w:hAnsi="Arial" w:cs="Arial"/>
          <w:sz w:val="18"/>
          <w:szCs w:val="18"/>
        </w:rPr>
        <w:br w:type="page"/>
      </w:r>
    </w:p>
    <w:p w14:paraId="1B9C78B2" w14:textId="3073C6EC" w:rsidR="003D7535" w:rsidRPr="00392E0D" w:rsidRDefault="00613F4D" w:rsidP="00111155">
      <w:pPr>
        <w:spacing w:after="240"/>
        <w:rPr>
          <w:rFonts w:ascii="Arial" w:hAnsi="Arial" w:cs="Arial"/>
          <w:sz w:val="44"/>
          <w:szCs w:val="44"/>
        </w:rPr>
      </w:pPr>
      <w:r w:rsidRPr="00392E0D">
        <w:rPr>
          <w:rFonts w:ascii="Arial" w:hAnsi="Arial" w:cs="Arial"/>
          <w:sz w:val="44"/>
          <w:szCs w:val="44"/>
        </w:rPr>
        <w:lastRenderedPageBreak/>
        <w:t>Contents</w:t>
      </w:r>
    </w:p>
    <w:p w14:paraId="70A84BB6" w14:textId="621E0173" w:rsidR="00F46E19" w:rsidRPr="000F11FB" w:rsidRDefault="00111155">
      <w:pPr>
        <w:pStyle w:val="TOC1"/>
        <w:rPr>
          <w:rFonts w:asciiTheme="minorHAnsi" w:eastAsiaTheme="minorEastAsia" w:hAnsiTheme="minorHAnsi" w:cstheme="minorBidi"/>
          <w:sz w:val="22"/>
          <w:szCs w:val="22"/>
          <w:lang w:val="en-AU" w:eastAsia="en-AU"/>
        </w:rPr>
      </w:pPr>
      <w:r w:rsidRPr="000F11FB">
        <w:rPr>
          <w:rFonts w:cs="Arial"/>
        </w:rPr>
        <w:fldChar w:fldCharType="begin"/>
      </w:r>
      <w:r w:rsidRPr="000F11FB">
        <w:rPr>
          <w:rFonts w:cs="Arial"/>
        </w:rPr>
        <w:instrText xml:space="preserve"> TOC \o "1-1" \h \z \u </w:instrText>
      </w:r>
      <w:r w:rsidRPr="000F11FB">
        <w:rPr>
          <w:rFonts w:cs="Arial"/>
        </w:rPr>
        <w:fldChar w:fldCharType="separate"/>
      </w:r>
      <w:hyperlink w:anchor="_Toc99530565" w:history="1">
        <w:r w:rsidR="00F46E19" w:rsidRPr="000F11FB">
          <w:rPr>
            <w:rStyle w:val="Hyperlink"/>
            <w:rFonts w:cs="Arial"/>
            <w:color w:val="000000" w:themeColor="text1"/>
          </w:rPr>
          <w:t>Executive summary</w:t>
        </w:r>
        <w:r w:rsidR="00F46E19" w:rsidRPr="000F11FB">
          <w:rPr>
            <w:webHidden/>
          </w:rPr>
          <w:tab/>
        </w:r>
        <w:r w:rsidR="00F46E19" w:rsidRPr="000F11FB">
          <w:rPr>
            <w:webHidden/>
          </w:rPr>
          <w:fldChar w:fldCharType="begin"/>
        </w:r>
        <w:r w:rsidR="00F46E19" w:rsidRPr="000F11FB">
          <w:rPr>
            <w:webHidden/>
          </w:rPr>
          <w:instrText xml:space="preserve"> PAGEREF _Toc99530565 \h </w:instrText>
        </w:r>
        <w:r w:rsidR="00F46E19" w:rsidRPr="000F11FB">
          <w:rPr>
            <w:webHidden/>
          </w:rPr>
        </w:r>
        <w:r w:rsidR="00F46E19" w:rsidRPr="000F11FB">
          <w:rPr>
            <w:webHidden/>
          </w:rPr>
          <w:fldChar w:fldCharType="separate"/>
        </w:r>
        <w:r w:rsidR="00F46E19" w:rsidRPr="000F11FB">
          <w:rPr>
            <w:webHidden/>
          </w:rPr>
          <w:t>3</w:t>
        </w:r>
        <w:r w:rsidR="00F46E19" w:rsidRPr="000F11FB">
          <w:rPr>
            <w:webHidden/>
          </w:rPr>
          <w:fldChar w:fldCharType="end"/>
        </w:r>
      </w:hyperlink>
    </w:p>
    <w:p w14:paraId="036D77FC" w14:textId="3097C4F4" w:rsidR="00F46E19" w:rsidRPr="000F11FB" w:rsidRDefault="00F46E19">
      <w:pPr>
        <w:pStyle w:val="TOC1"/>
        <w:rPr>
          <w:rFonts w:asciiTheme="minorHAnsi" w:eastAsiaTheme="minorEastAsia" w:hAnsiTheme="minorHAnsi" w:cstheme="minorBidi"/>
          <w:sz w:val="22"/>
          <w:szCs w:val="22"/>
          <w:lang w:val="en-AU" w:eastAsia="en-AU"/>
        </w:rPr>
      </w:pPr>
      <w:hyperlink w:anchor="_Toc99530566" w:history="1">
        <w:r w:rsidRPr="000F11FB">
          <w:rPr>
            <w:rStyle w:val="Hyperlink"/>
            <w:rFonts w:cs="Arial"/>
            <w:color w:val="000000" w:themeColor="text1"/>
          </w:rPr>
          <w:t>AEDC domain and summary indicator guide</w:t>
        </w:r>
        <w:r w:rsidRPr="000F11FB">
          <w:rPr>
            <w:webHidden/>
          </w:rPr>
          <w:tab/>
        </w:r>
        <w:r w:rsidRPr="000F11FB">
          <w:rPr>
            <w:webHidden/>
          </w:rPr>
          <w:fldChar w:fldCharType="begin"/>
        </w:r>
        <w:r w:rsidRPr="000F11FB">
          <w:rPr>
            <w:webHidden/>
          </w:rPr>
          <w:instrText xml:space="preserve"> PAGEREF _Toc99530566 \h </w:instrText>
        </w:r>
        <w:r w:rsidRPr="000F11FB">
          <w:rPr>
            <w:webHidden/>
          </w:rPr>
        </w:r>
        <w:r w:rsidRPr="000F11FB">
          <w:rPr>
            <w:webHidden/>
          </w:rPr>
          <w:fldChar w:fldCharType="separate"/>
        </w:r>
        <w:r w:rsidRPr="000F11FB">
          <w:rPr>
            <w:webHidden/>
          </w:rPr>
          <w:t>7</w:t>
        </w:r>
        <w:r w:rsidRPr="000F11FB">
          <w:rPr>
            <w:webHidden/>
          </w:rPr>
          <w:fldChar w:fldCharType="end"/>
        </w:r>
      </w:hyperlink>
    </w:p>
    <w:p w14:paraId="19A0C38F" w14:textId="247882E0" w:rsidR="00F46E19" w:rsidRPr="000F11FB" w:rsidRDefault="00F46E19">
      <w:pPr>
        <w:pStyle w:val="TOC1"/>
        <w:rPr>
          <w:rFonts w:asciiTheme="minorHAnsi" w:eastAsiaTheme="minorEastAsia" w:hAnsiTheme="minorHAnsi" w:cstheme="minorBidi"/>
          <w:sz w:val="22"/>
          <w:szCs w:val="22"/>
          <w:lang w:val="en-AU" w:eastAsia="en-AU"/>
        </w:rPr>
      </w:pPr>
      <w:hyperlink w:anchor="_Toc99530567" w:history="1">
        <w:r w:rsidRPr="000F11FB">
          <w:rPr>
            <w:rStyle w:val="Hyperlink"/>
            <w:rFonts w:cs="Arial"/>
            <w:color w:val="000000" w:themeColor="text1"/>
          </w:rPr>
          <w:t>AEDC summary indicators</w:t>
        </w:r>
        <w:r w:rsidRPr="000F11FB">
          <w:rPr>
            <w:webHidden/>
          </w:rPr>
          <w:tab/>
        </w:r>
        <w:r w:rsidRPr="000F11FB">
          <w:rPr>
            <w:webHidden/>
          </w:rPr>
          <w:fldChar w:fldCharType="begin"/>
        </w:r>
        <w:r w:rsidRPr="000F11FB">
          <w:rPr>
            <w:webHidden/>
          </w:rPr>
          <w:instrText xml:space="preserve"> PAGEREF _Toc99530567 \h </w:instrText>
        </w:r>
        <w:r w:rsidRPr="000F11FB">
          <w:rPr>
            <w:webHidden/>
          </w:rPr>
        </w:r>
        <w:r w:rsidRPr="000F11FB">
          <w:rPr>
            <w:webHidden/>
          </w:rPr>
          <w:fldChar w:fldCharType="separate"/>
        </w:r>
        <w:r w:rsidRPr="000F11FB">
          <w:rPr>
            <w:webHidden/>
          </w:rPr>
          <w:t>9</w:t>
        </w:r>
        <w:r w:rsidRPr="000F11FB">
          <w:rPr>
            <w:webHidden/>
          </w:rPr>
          <w:fldChar w:fldCharType="end"/>
        </w:r>
      </w:hyperlink>
    </w:p>
    <w:p w14:paraId="477B0397" w14:textId="68BD108D" w:rsidR="00F46E19" w:rsidRPr="000F11FB" w:rsidRDefault="00F46E19">
      <w:pPr>
        <w:pStyle w:val="TOC1"/>
        <w:rPr>
          <w:rFonts w:asciiTheme="minorHAnsi" w:eastAsiaTheme="minorEastAsia" w:hAnsiTheme="minorHAnsi" w:cstheme="minorBidi"/>
          <w:sz w:val="22"/>
          <w:szCs w:val="22"/>
          <w:lang w:val="en-AU" w:eastAsia="en-AU"/>
        </w:rPr>
      </w:pPr>
      <w:hyperlink w:anchor="_Toc99530568" w:history="1">
        <w:r w:rsidRPr="000F11FB">
          <w:rPr>
            <w:rStyle w:val="Hyperlink"/>
            <w:rFonts w:cs="Arial"/>
            <w:color w:val="000000" w:themeColor="text1"/>
          </w:rPr>
          <w:t>Case studies</w:t>
        </w:r>
        <w:r w:rsidRPr="000F11FB">
          <w:rPr>
            <w:webHidden/>
          </w:rPr>
          <w:tab/>
        </w:r>
        <w:r w:rsidRPr="000F11FB">
          <w:rPr>
            <w:webHidden/>
          </w:rPr>
          <w:tab/>
        </w:r>
        <w:r w:rsidRPr="000F11FB">
          <w:rPr>
            <w:webHidden/>
          </w:rPr>
          <w:fldChar w:fldCharType="begin"/>
        </w:r>
        <w:r w:rsidRPr="000F11FB">
          <w:rPr>
            <w:webHidden/>
          </w:rPr>
          <w:instrText xml:space="preserve"> PAGEREF _Toc99530568 \h </w:instrText>
        </w:r>
        <w:r w:rsidRPr="000F11FB">
          <w:rPr>
            <w:webHidden/>
          </w:rPr>
        </w:r>
        <w:r w:rsidRPr="000F11FB">
          <w:rPr>
            <w:webHidden/>
          </w:rPr>
          <w:fldChar w:fldCharType="separate"/>
        </w:r>
        <w:r w:rsidRPr="000F11FB">
          <w:rPr>
            <w:webHidden/>
          </w:rPr>
          <w:t>10</w:t>
        </w:r>
        <w:r w:rsidRPr="000F11FB">
          <w:rPr>
            <w:webHidden/>
          </w:rPr>
          <w:fldChar w:fldCharType="end"/>
        </w:r>
      </w:hyperlink>
    </w:p>
    <w:p w14:paraId="55458C00" w14:textId="70C688B4" w:rsidR="00F46E19" w:rsidRPr="000F11FB" w:rsidRDefault="00F46E19">
      <w:pPr>
        <w:pStyle w:val="TOC1"/>
        <w:rPr>
          <w:rFonts w:asciiTheme="minorHAnsi" w:eastAsiaTheme="minorEastAsia" w:hAnsiTheme="minorHAnsi" w:cstheme="minorBidi"/>
          <w:sz w:val="22"/>
          <w:szCs w:val="22"/>
          <w:lang w:val="en-AU" w:eastAsia="en-AU"/>
        </w:rPr>
      </w:pPr>
      <w:hyperlink w:anchor="_Toc99530569" w:history="1">
        <w:r w:rsidRPr="000F11FB">
          <w:rPr>
            <w:rStyle w:val="Hyperlink"/>
            <w:rFonts w:cs="Arial"/>
            <w:color w:val="000000" w:themeColor="text1"/>
          </w:rPr>
          <w:t>AEDC domains</w:t>
        </w:r>
        <w:r w:rsidRPr="000F11FB">
          <w:rPr>
            <w:webHidden/>
          </w:rPr>
          <w:tab/>
        </w:r>
        <w:r w:rsidRPr="000F11FB">
          <w:rPr>
            <w:webHidden/>
          </w:rPr>
          <w:fldChar w:fldCharType="begin"/>
        </w:r>
        <w:r w:rsidRPr="000F11FB">
          <w:rPr>
            <w:webHidden/>
          </w:rPr>
          <w:instrText xml:space="preserve"> PAGEREF _Toc99530569 \h </w:instrText>
        </w:r>
        <w:r w:rsidRPr="000F11FB">
          <w:rPr>
            <w:webHidden/>
          </w:rPr>
        </w:r>
        <w:r w:rsidRPr="000F11FB">
          <w:rPr>
            <w:webHidden/>
          </w:rPr>
          <w:fldChar w:fldCharType="separate"/>
        </w:r>
        <w:r w:rsidRPr="000F11FB">
          <w:rPr>
            <w:webHidden/>
          </w:rPr>
          <w:t>11</w:t>
        </w:r>
        <w:r w:rsidRPr="000F11FB">
          <w:rPr>
            <w:webHidden/>
          </w:rPr>
          <w:fldChar w:fldCharType="end"/>
        </w:r>
      </w:hyperlink>
    </w:p>
    <w:p w14:paraId="6818B52A" w14:textId="3830DBC6" w:rsidR="00F46E19" w:rsidRPr="000F11FB" w:rsidRDefault="00F46E19">
      <w:pPr>
        <w:pStyle w:val="TOC1"/>
        <w:rPr>
          <w:rFonts w:asciiTheme="minorHAnsi" w:eastAsiaTheme="minorEastAsia" w:hAnsiTheme="minorHAnsi" w:cstheme="minorBidi"/>
          <w:sz w:val="22"/>
          <w:szCs w:val="22"/>
          <w:lang w:val="en-AU" w:eastAsia="en-AU"/>
        </w:rPr>
      </w:pPr>
      <w:hyperlink w:anchor="_Toc99530570" w:history="1">
        <w:r w:rsidRPr="000F11FB">
          <w:rPr>
            <w:rStyle w:val="Hyperlink"/>
            <w:rFonts w:cs="Arial"/>
            <w:color w:val="000000" w:themeColor="text1"/>
          </w:rPr>
          <w:t>Case studies</w:t>
        </w:r>
        <w:r w:rsidRPr="000F11FB">
          <w:rPr>
            <w:webHidden/>
          </w:rPr>
          <w:tab/>
        </w:r>
        <w:r w:rsidRPr="000F11FB">
          <w:rPr>
            <w:webHidden/>
          </w:rPr>
          <w:tab/>
        </w:r>
        <w:r w:rsidRPr="000F11FB">
          <w:rPr>
            <w:webHidden/>
          </w:rPr>
          <w:fldChar w:fldCharType="begin"/>
        </w:r>
        <w:r w:rsidRPr="000F11FB">
          <w:rPr>
            <w:webHidden/>
          </w:rPr>
          <w:instrText xml:space="preserve"> PAGEREF _Toc99530570 \h </w:instrText>
        </w:r>
        <w:r w:rsidRPr="000F11FB">
          <w:rPr>
            <w:webHidden/>
          </w:rPr>
        </w:r>
        <w:r w:rsidRPr="000F11FB">
          <w:rPr>
            <w:webHidden/>
          </w:rPr>
          <w:fldChar w:fldCharType="separate"/>
        </w:r>
        <w:r w:rsidRPr="000F11FB">
          <w:rPr>
            <w:webHidden/>
          </w:rPr>
          <w:t>14</w:t>
        </w:r>
        <w:r w:rsidRPr="000F11FB">
          <w:rPr>
            <w:webHidden/>
          </w:rPr>
          <w:fldChar w:fldCharType="end"/>
        </w:r>
      </w:hyperlink>
    </w:p>
    <w:p w14:paraId="16EAEBF2" w14:textId="46F4B5EB" w:rsidR="00F46E19" w:rsidRPr="000F11FB" w:rsidRDefault="00F46E19">
      <w:pPr>
        <w:pStyle w:val="TOC1"/>
        <w:rPr>
          <w:rFonts w:asciiTheme="minorHAnsi" w:eastAsiaTheme="minorEastAsia" w:hAnsiTheme="minorHAnsi" w:cstheme="minorBidi"/>
          <w:sz w:val="22"/>
          <w:szCs w:val="22"/>
          <w:lang w:val="en-AU" w:eastAsia="en-AU"/>
        </w:rPr>
      </w:pPr>
      <w:hyperlink w:anchor="_Toc99530571" w:history="1">
        <w:r w:rsidRPr="000F11FB">
          <w:rPr>
            <w:rStyle w:val="Hyperlink"/>
            <w:rFonts w:cs="Arial"/>
            <w:color w:val="000000" w:themeColor="text1"/>
          </w:rPr>
          <w:t>Focus on equity groups</w:t>
        </w:r>
        <w:r w:rsidRPr="000F11FB">
          <w:rPr>
            <w:webHidden/>
          </w:rPr>
          <w:tab/>
        </w:r>
        <w:r w:rsidRPr="000F11FB">
          <w:rPr>
            <w:webHidden/>
          </w:rPr>
          <w:fldChar w:fldCharType="begin"/>
        </w:r>
        <w:r w:rsidRPr="000F11FB">
          <w:rPr>
            <w:webHidden/>
          </w:rPr>
          <w:instrText xml:space="preserve"> PAGEREF _Toc99530571 \h </w:instrText>
        </w:r>
        <w:r w:rsidRPr="000F11FB">
          <w:rPr>
            <w:webHidden/>
          </w:rPr>
        </w:r>
        <w:r w:rsidRPr="000F11FB">
          <w:rPr>
            <w:webHidden/>
          </w:rPr>
          <w:fldChar w:fldCharType="separate"/>
        </w:r>
        <w:r w:rsidRPr="000F11FB">
          <w:rPr>
            <w:webHidden/>
          </w:rPr>
          <w:t>16</w:t>
        </w:r>
        <w:r w:rsidRPr="000F11FB">
          <w:rPr>
            <w:webHidden/>
          </w:rPr>
          <w:fldChar w:fldCharType="end"/>
        </w:r>
      </w:hyperlink>
    </w:p>
    <w:p w14:paraId="4D6A54AA" w14:textId="17EA3025" w:rsidR="00F46E19" w:rsidRPr="000F11FB" w:rsidRDefault="00F46E19">
      <w:pPr>
        <w:pStyle w:val="TOC1"/>
        <w:rPr>
          <w:rFonts w:asciiTheme="minorHAnsi" w:eastAsiaTheme="minorEastAsia" w:hAnsiTheme="minorHAnsi" w:cstheme="minorBidi"/>
          <w:sz w:val="22"/>
          <w:szCs w:val="22"/>
          <w:lang w:val="en-AU" w:eastAsia="en-AU"/>
        </w:rPr>
      </w:pPr>
      <w:hyperlink w:anchor="_Toc99530572" w:history="1">
        <w:r w:rsidRPr="000F11FB">
          <w:rPr>
            <w:rStyle w:val="Hyperlink"/>
            <w:rFonts w:cs="Arial"/>
            <w:color w:val="000000" w:themeColor="text1"/>
          </w:rPr>
          <w:t>Aboriginal and Torres Strait Islander children</w:t>
        </w:r>
        <w:r w:rsidRPr="000F11FB">
          <w:rPr>
            <w:webHidden/>
          </w:rPr>
          <w:tab/>
        </w:r>
        <w:r w:rsidRPr="000F11FB">
          <w:rPr>
            <w:webHidden/>
          </w:rPr>
          <w:fldChar w:fldCharType="begin"/>
        </w:r>
        <w:r w:rsidRPr="000F11FB">
          <w:rPr>
            <w:webHidden/>
          </w:rPr>
          <w:instrText xml:space="preserve"> PAGEREF _Toc99530572 \h </w:instrText>
        </w:r>
        <w:r w:rsidRPr="000F11FB">
          <w:rPr>
            <w:webHidden/>
          </w:rPr>
        </w:r>
        <w:r w:rsidRPr="000F11FB">
          <w:rPr>
            <w:webHidden/>
          </w:rPr>
          <w:fldChar w:fldCharType="separate"/>
        </w:r>
        <w:r w:rsidRPr="000F11FB">
          <w:rPr>
            <w:webHidden/>
          </w:rPr>
          <w:t>16</w:t>
        </w:r>
        <w:r w:rsidRPr="000F11FB">
          <w:rPr>
            <w:webHidden/>
          </w:rPr>
          <w:fldChar w:fldCharType="end"/>
        </w:r>
      </w:hyperlink>
    </w:p>
    <w:p w14:paraId="033EEEFA" w14:textId="52B84079" w:rsidR="00F46E19" w:rsidRPr="000F11FB" w:rsidRDefault="00F46E19">
      <w:pPr>
        <w:pStyle w:val="TOC1"/>
        <w:rPr>
          <w:rFonts w:asciiTheme="minorHAnsi" w:eastAsiaTheme="minorEastAsia" w:hAnsiTheme="minorHAnsi" w:cstheme="minorBidi"/>
          <w:sz w:val="22"/>
          <w:szCs w:val="22"/>
          <w:lang w:val="en-AU" w:eastAsia="en-AU"/>
        </w:rPr>
      </w:pPr>
      <w:hyperlink w:anchor="_Toc99530573" w:history="1">
        <w:r w:rsidRPr="000F11FB">
          <w:rPr>
            <w:rStyle w:val="Hyperlink"/>
            <w:rFonts w:cs="Arial"/>
            <w:color w:val="000000" w:themeColor="text1"/>
          </w:rPr>
          <w:t>Socio-economic status (SEIFA)</w:t>
        </w:r>
        <w:r w:rsidRPr="000F11FB">
          <w:rPr>
            <w:webHidden/>
          </w:rPr>
          <w:tab/>
        </w:r>
        <w:r w:rsidRPr="000F11FB">
          <w:rPr>
            <w:webHidden/>
          </w:rPr>
          <w:fldChar w:fldCharType="begin"/>
        </w:r>
        <w:r w:rsidRPr="000F11FB">
          <w:rPr>
            <w:webHidden/>
          </w:rPr>
          <w:instrText xml:space="preserve"> PAGEREF _Toc99530573 \h </w:instrText>
        </w:r>
        <w:r w:rsidRPr="000F11FB">
          <w:rPr>
            <w:webHidden/>
          </w:rPr>
        </w:r>
        <w:r w:rsidRPr="000F11FB">
          <w:rPr>
            <w:webHidden/>
          </w:rPr>
          <w:fldChar w:fldCharType="separate"/>
        </w:r>
        <w:r w:rsidRPr="000F11FB">
          <w:rPr>
            <w:webHidden/>
          </w:rPr>
          <w:t>20</w:t>
        </w:r>
        <w:r w:rsidRPr="000F11FB">
          <w:rPr>
            <w:webHidden/>
          </w:rPr>
          <w:fldChar w:fldCharType="end"/>
        </w:r>
      </w:hyperlink>
    </w:p>
    <w:p w14:paraId="2062B1E8" w14:textId="23FCEAFA" w:rsidR="00F46E19" w:rsidRPr="000F11FB" w:rsidRDefault="00F46E19">
      <w:pPr>
        <w:pStyle w:val="TOC1"/>
        <w:rPr>
          <w:rFonts w:asciiTheme="minorHAnsi" w:eastAsiaTheme="minorEastAsia" w:hAnsiTheme="minorHAnsi" w:cstheme="minorBidi"/>
          <w:sz w:val="22"/>
          <w:szCs w:val="22"/>
          <w:lang w:val="en-AU" w:eastAsia="en-AU"/>
        </w:rPr>
      </w:pPr>
      <w:hyperlink w:anchor="_Toc99530574" w:history="1">
        <w:r w:rsidRPr="000F11FB">
          <w:rPr>
            <w:rStyle w:val="Hyperlink"/>
            <w:rFonts w:cs="Arial"/>
            <w:color w:val="000000" w:themeColor="text1"/>
          </w:rPr>
          <w:t>Language diversity (LBOTE)</w:t>
        </w:r>
        <w:r w:rsidRPr="000F11FB">
          <w:rPr>
            <w:webHidden/>
          </w:rPr>
          <w:tab/>
        </w:r>
        <w:r w:rsidRPr="000F11FB">
          <w:rPr>
            <w:webHidden/>
          </w:rPr>
          <w:fldChar w:fldCharType="begin"/>
        </w:r>
        <w:r w:rsidRPr="000F11FB">
          <w:rPr>
            <w:webHidden/>
          </w:rPr>
          <w:instrText xml:space="preserve"> PAGEREF _Toc99530574 \h </w:instrText>
        </w:r>
        <w:r w:rsidRPr="000F11FB">
          <w:rPr>
            <w:webHidden/>
          </w:rPr>
        </w:r>
        <w:r w:rsidRPr="000F11FB">
          <w:rPr>
            <w:webHidden/>
          </w:rPr>
          <w:fldChar w:fldCharType="separate"/>
        </w:r>
        <w:r w:rsidRPr="000F11FB">
          <w:rPr>
            <w:webHidden/>
          </w:rPr>
          <w:t>23</w:t>
        </w:r>
        <w:r w:rsidRPr="000F11FB">
          <w:rPr>
            <w:webHidden/>
          </w:rPr>
          <w:fldChar w:fldCharType="end"/>
        </w:r>
      </w:hyperlink>
    </w:p>
    <w:p w14:paraId="054FD6E5" w14:textId="29DE14C8" w:rsidR="00F46E19" w:rsidRPr="000F11FB" w:rsidRDefault="00F46E19">
      <w:pPr>
        <w:pStyle w:val="TOC1"/>
        <w:rPr>
          <w:rFonts w:asciiTheme="minorHAnsi" w:eastAsiaTheme="minorEastAsia" w:hAnsiTheme="minorHAnsi" w:cstheme="minorBidi"/>
          <w:sz w:val="22"/>
          <w:szCs w:val="22"/>
          <w:lang w:val="en-AU" w:eastAsia="en-AU"/>
        </w:rPr>
      </w:pPr>
      <w:hyperlink w:anchor="_Toc99530575" w:history="1">
        <w:r w:rsidRPr="000F11FB">
          <w:rPr>
            <w:rStyle w:val="Hyperlink"/>
            <w:rFonts w:cs="Arial"/>
            <w:color w:val="000000" w:themeColor="text1"/>
          </w:rPr>
          <w:t>Geographic</w:t>
        </w:r>
        <w:r w:rsidRPr="000F11FB">
          <w:rPr>
            <w:rStyle w:val="Hyperlink"/>
            <w:rFonts w:cs="Arial"/>
            <w:color w:val="000000" w:themeColor="text1"/>
            <w:spacing w:val="-27"/>
          </w:rPr>
          <w:t xml:space="preserve"> </w:t>
        </w:r>
        <w:r w:rsidRPr="000F11FB">
          <w:rPr>
            <w:rStyle w:val="Hyperlink"/>
            <w:rFonts w:cs="Arial"/>
            <w:color w:val="000000" w:themeColor="text1"/>
          </w:rPr>
          <w:t>location</w:t>
        </w:r>
        <w:r w:rsidRPr="000F11FB">
          <w:rPr>
            <w:rStyle w:val="Hyperlink"/>
            <w:rFonts w:cs="Arial"/>
            <w:color w:val="000000" w:themeColor="text1"/>
            <w:spacing w:val="-27"/>
          </w:rPr>
          <w:t xml:space="preserve"> </w:t>
        </w:r>
        <w:r w:rsidRPr="000F11FB">
          <w:rPr>
            <w:rStyle w:val="Hyperlink"/>
            <w:rFonts w:cs="Arial"/>
            <w:color w:val="000000" w:themeColor="text1"/>
          </w:rPr>
          <w:t>(Remoteness)</w:t>
        </w:r>
        <w:r w:rsidRPr="000F11FB">
          <w:rPr>
            <w:webHidden/>
          </w:rPr>
          <w:tab/>
        </w:r>
        <w:r w:rsidRPr="000F11FB">
          <w:rPr>
            <w:webHidden/>
          </w:rPr>
          <w:fldChar w:fldCharType="begin"/>
        </w:r>
        <w:r w:rsidRPr="000F11FB">
          <w:rPr>
            <w:webHidden/>
          </w:rPr>
          <w:instrText xml:space="preserve"> PAGEREF _Toc99530575 \h </w:instrText>
        </w:r>
        <w:r w:rsidRPr="000F11FB">
          <w:rPr>
            <w:webHidden/>
          </w:rPr>
        </w:r>
        <w:r w:rsidRPr="000F11FB">
          <w:rPr>
            <w:webHidden/>
          </w:rPr>
          <w:fldChar w:fldCharType="separate"/>
        </w:r>
        <w:r w:rsidRPr="000F11FB">
          <w:rPr>
            <w:webHidden/>
          </w:rPr>
          <w:t>25</w:t>
        </w:r>
        <w:r w:rsidRPr="000F11FB">
          <w:rPr>
            <w:webHidden/>
          </w:rPr>
          <w:fldChar w:fldCharType="end"/>
        </w:r>
      </w:hyperlink>
    </w:p>
    <w:p w14:paraId="62F3CFDA" w14:textId="456BF9A5" w:rsidR="00F46E19" w:rsidRPr="000F11FB" w:rsidRDefault="00F46E19">
      <w:pPr>
        <w:pStyle w:val="TOC1"/>
        <w:rPr>
          <w:rFonts w:asciiTheme="minorHAnsi" w:eastAsiaTheme="minorEastAsia" w:hAnsiTheme="minorHAnsi" w:cstheme="minorBidi"/>
          <w:sz w:val="22"/>
          <w:szCs w:val="22"/>
          <w:lang w:val="en-AU" w:eastAsia="en-AU"/>
        </w:rPr>
      </w:pPr>
      <w:hyperlink w:anchor="_Toc99530576" w:history="1">
        <w:r w:rsidRPr="000F11FB">
          <w:rPr>
            <w:rStyle w:val="Hyperlink"/>
            <w:rFonts w:cs="Arial"/>
            <w:color w:val="000000" w:themeColor="text1"/>
          </w:rPr>
          <w:t>Case studies</w:t>
        </w:r>
        <w:r w:rsidRPr="000F11FB">
          <w:rPr>
            <w:webHidden/>
          </w:rPr>
          <w:tab/>
        </w:r>
        <w:r w:rsidRPr="000F11FB">
          <w:rPr>
            <w:webHidden/>
          </w:rPr>
          <w:tab/>
        </w:r>
        <w:r w:rsidRPr="000F11FB">
          <w:rPr>
            <w:webHidden/>
          </w:rPr>
          <w:fldChar w:fldCharType="begin"/>
        </w:r>
        <w:r w:rsidRPr="000F11FB">
          <w:rPr>
            <w:webHidden/>
          </w:rPr>
          <w:instrText xml:space="preserve"> PAGEREF _Toc99530576 \h </w:instrText>
        </w:r>
        <w:r w:rsidRPr="000F11FB">
          <w:rPr>
            <w:webHidden/>
          </w:rPr>
        </w:r>
        <w:r w:rsidRPr="000F11FB">
          <w:rPr>
            <w:webHidden/>
          </w:rPr>
          <w:fldChar w:fldCharType="separate"/>
        </w:r>
        <w:r w:rsidRPr="000F11FB">
          <w:rPr>
            <w:webHidden/>
          </w:rPr>
          <w:t>28</w:t>
        </w:r>
        <w:r w:rsidRPr="000F11FB">
          <w:rPr>
            <w:webHidden/>
          </w:rPr>
          <w:fldChar w:fldCharType="end"/>
        </w:r>
      </w:hyperlink>
    </w:p>
    <w:p w14:paraId="3E79D508" w14:textId="39810560" w:rsidR="00F46E19" w:rsidRPr="000F11FB" w:rsidRDefault="00F46E19">
      <w:pPr>
        <w:pStyle w:val="TOC1"/>
        <w:rPr>
          <w:rFonts w:asciiTheme="minorHAnsi" w:eastAsiaTheme="minorEastAsia" w:hAnsiTheme="minorHAnsi" w:cstheme="minorBidi"/>
          <w:sz w:val="22"/>
          <w:szCs w:val="22"/>
          <w:lang w:val="en-AU" w:eastAsia="en-AU"/>
        </w:rPr>
      </w:pPr>
      <w:hyperlink w:anchor="_Toc99530577" w:history="1">
        <w:r w:rsidRPr="000F11FB">
          <w:rPr>
            <w:rStyle w:val="Hyperlink"/>
            <w:rFonts w:cs="Arial"/>
            <w:color w:val="000000" w:themeColor="text1"/>
          </w:rPr>
          <w:t>Appendix 1</w:t>
        </w:r>
        <w:r w:rsidRPr="000F11FB">
          <w:rPr>
            <w:rFonts w:asciiTheme="minorHAnsi" w:eastAsiaTheme="minorEastAsia" w:hAnsiTheme="minorHAnsi" w:cstheme="minorBidi"/>
            <w:sz w:val="22"/>
            <w:szCs w:val="22"/>
            <w:lang w:val="en-AU" w:eastAsia="en-AU"/>
          </w:rPr>
          <w:tab/>
        </w:r>
        <w:r w:rsidRPr="000F11FB">
          <w:rPr>
            <w:rStyle w:val="Hyperlink"/>
            <w:rFonts w:cs="Arial"/>
            <w:color w:val="000000" w:themeColor="text1"/>
          </w:rPr>
          <w:t>Background to the AEDC</w:t>
        </w:r>
        <w:r w:rsidRPr="000F11FB">
          <w:rPr>
            <w:webHidden/>
          </w:rPr>
          <w:tab/>
        </w:r>
        <w:r w:rsidRPr="000F11FB">
          <w:rPr>
            <w:webHidden/>
          </w:rPr>
          <w:fldChar w:fldCharType="begin"/>
        </w:r>
        <w:r w:rsidRPr="000F11FB">
          <w:rPr>
            <w:webHidden/>
          </w:rPr>
          <w:instrText xml:space="preserve"> PAGEREF _Toc99530577 \h </w:instrText>
        </w:r>
        <w:r w:rsidRPr="000F11FB">
          <w:rPr>
            <w:webHidden/>
          </w:rPr>
        </w:r>
        <w:r w:rsidRPr="000F11FB">
          <w:rPr>
            <w:webHidden/>
          </w:rPr>
          <w:fldChar w:fldCharType="separate"/>
        </w:r>
        <w:r w:rsidRPr="000F11FB">
          <w:rPr>
            <w:webHidden/>
          </w:rPr>
          <w:t>29</w:t>
        </w:r>
        <w:r w:rsidRPr="000F11FB">
          <w:rPr>
            <w:webHidden/>
          </w:rPr>
          <w:fldChar w:fldCharType="end"/>
        </w:r>
      </w:hyperlink>
    </w:p>
    <w:p w14:paraId="62EE70E4" w14:textId="64D3A079" w:rsidR="00F46E19" w:rsidRPr="000F11FB" w:rsidRDefault="00F46E19">
      <w:pPr>
        <w:pStyle w:val="TOC1"/>
        <w:rPr>
          <w:rFonts w:asciiTheme="minorHAnsi" w:eastAsiaTheme="minorEastAsia" w:hAnsiTheme="minorHAnsi" w:cstheme="minorBidi"/>
          <w:sz w:val="22"/>
          <w:szCs w:val="22"/>
          <w:lang w:val="en-AU" w:eastAsia="en-AU"/>
        </w:rPr>
      </w:pPr>
      <w:hyperlink w:anchor="_Toc99530578" w:history="1">
        <w:r w:rsidRPr="000F11FB">
          <w:rPr>
            <w:rStyle w:val="Hyperlink"/>
            <w:rFonts w:cs="Arial"/>
            <w:color w:val="000000" w:themeColor="text1"/>
          </w:rPr>
          <w:t>Appendix 2</w:t>
        </w:r>
        <w:r w:rsidRPr="000F11FB">
          <w:rPr>
            <w:rFonts w:asciiTheme="minorHAnsi" w:eastAsiaTheme="minorEastAsia" w:hAnsiTheme="minorHAnsi" w:cstheme="minorBidi"/>
            <w:sz w:val="22"/>
            <w:szCs w:val="22"/>
            <w:lang w:val="en-AU" w:eastAsia="en-AU"/>
          </w:rPr>
          <w:tab/>
        </w:r>
        <w:r w:rsidRPr="000F11FB">
          <w:rPr>
            <w:rStyle w:val="Hyperlink"/>
            <w:rFonts w:cs="Arial"/>
            <w:color w:val="000000" w:themeColor="text1"/>
          </w:rPr>
          <w:t>State and Territory trends</w:t>
        </w:r>
        <w:r w:rsidRPr="000F11FB">
          <w:rPr>
            <w:webHidden/>
          </w:rPr>
          <w:tab/>
        </w:r>
        <w:r w:rsidRPr="000F11FB">
          <w:rPr>
            <w:webHidden/>
          </w:rPr>
          <w:fldChar w:fldCharType="begin"/>
        </w:r>
        <w:r w:rsidRPr="000F11FB">
          <w:rPr>
            <w:webHidden/>
          </w:rPr>
          <w:instrText xml:space="preserve"> PAGEREF _Toc99530578 \h </w:instrText>
        </w:r>
        <w:r w:rsidRPr="000F11FB">
          <w:rPr>
            <w:webHidden/>
          </w:rPr>
        </w:r>
        <w:r w:rsidRPr="000F11FB">
          <w:rPr>
            <w:webHidden/>
          </w:rPr>
          <w:fldChar w:fldCharType="separate"/>
        </w:r>
        <w:r w:rsidRPr="000F11FB">
          <w:rPr>
            <w:webHidden/>
          </w:rPr>
          <w:t>31</w:t>
        </w:r>
        <w:r w:rsidRPr="000F11FB">
          <w:rPr>
            <w:webHidden/>
          </w:rPr>
          <w:fldChar w:fldCharType="end"/>
        </w:r>
      </w:hyperlink>
    </w:p>
    <w:p w14:paraId="706DC4A0" w14:textId="1189C07A" w:rsidR="00F46E19" w:rsidRPr="000F11FB" w:rsidRDefault="00F46E19">
      <w:pPr>
        <w:pStyle w:val="TOC1"/>
        <w:rPr>
          <w:rFonts w:asciiTheme="minorHAnsi" w:eastAsiaTheme="minorEastAsia" w:hAnsiTheme="minorHAnsi" w:cstheme="minorBidi"/>
          <w:sz w:val="22"/>
          <w:szCs w:val="22"/>
          <w:lang w:val="en-AU" w:eastAsia="en-AU"/>
        </w:rPr>
      </w:pPr>
      <w:hyperlink w:anchor="_Toc99530579" w:history="1">
        <w:r w:rsidRPr="000F11FB">
          <w:rPr>
            <w:rStyle w:val="Hyperlink"/>
            <w:rFonts w:cs="Arial"/>
            <w:color w:val="000000" w:themeColor="text1"/>
          </w:rPr>
          <w:t>Appendix 3</w:t>
        </w:r>
        <w:r w:rsidRPr="000F11FB">
          <w:rPr>
            <w:rFonts w:asciiTheme="minorHAnsi" w:eastAsiaTheme="minorEastAsia" w:hAnsiTheme="minorHAnsi" w:cstheme="minorBidi"/>
            <w:sz w:val="22"/>
            <w:szCs w:val="22"/>
            <w:lang w:val="en-AU" w:eastAsia="en-AU"/>
          </w:rPr>
          <w:tab/>
        </w:r>
        <w:r w:rsidRPr="000F11FB">
          <w:rPr>
            <w:rStyle w:val="Hyperlink"/>
            <w:rFonts w:cs="Arial"/>
            <w:color w:val="000000" w:themeColor="text1"/>
          </w:rPr>
          <w:t>Demographics of Australian children included in the AEDC</w:t>
        </w:r>
        <w:r w:rsidRPr="000F11FB">
          <w:rPr>
            <w:webHidden/>
          </w:rPr>
          <w:tab/>
        </w:r>
        <w:r w:rsidRPr="000F11FB">
          <w:rPr>
            <w:webHidden/>
          </w:rPr>
          <w:fldChar w:fldCharType="begin"/>
        </w:r>
        <w:r w:rsidRPr="000F11FB">
          <w:rPr>
            <w:webHidden/>
          </w:rPr>
          <w:instrText xml:space="preserve"> PAGEREF _Toc99530579 \h </w:instrText>
        </w:r>
        <w:r w:rsidRPr="000F11FB">
          <w:rPr>
            <w:webHidden/>
          </w:rPr>
        </w:r>
        <w:r w:rsidRPr="000F11FB">
          <w:rPr>
            <w:webHidden/>
          </w:rPr>
          <w:fldChar w:fldCharType="separate"/>
        </w:r>
        <w:r w:rsidRPr="000F11FB">
          <w:rPr>
            <w:webHidden/>
          </w:rPr>
          <w:t>47</w:t>
        </w:r>
        <w:r w:rsidRPr="000F11FB">
          <w:rPr>
            <w:webHidden/>
          </w:rPr>
          <w:fldChar w:fldCharType="end"/>
        </w:r>
      </w:hyperlink>
    </w:p>
    <w:p w14:paraId="3E1D1A3F" w14:textId="07C4B8FA" w:rsidR="00F46E19" w:rsidRPr="000F11FB" w:rsidRDefault="00F46E19">
      <w:pPr>
        <w:pStyle w:val="TOC1"/>
        <w:rPr>
          <w:rFonts w:asciiTheme="minorHAnsi" w:eastAsiaTheme="minorEastAsia" w:hAnsiTheme="minorHAnsi" w:cstheme="minorBidi"/>
          <w:sz w:val="22"/>
          <w:szCs w:val="22"/>
          <w:lang w:val="en-AU" w:eastAsia="en-AU"/>
        </w:rPr>
      </w:pPr>
      <w:hyperlink w:anchor="_Toc99530580" w:history="1">
        <w:r w:rsidRPr="000F11FB">
          <w:rPr>
            <w:rStyle w:val="Hyperlink"/>
            <w:rFonts w:cs="Arial"/>
            <w:color w:val="000000" w:themeColor="text1"/>
          </w:rPr>
          <w:t>Appendix 4</w:t>
        </w:r>
        <w:r w:rsidRPr="000F11FB">
          <w:rPr>
            <w:rFonts w:asciiTheme="minorHAnsi" w:eastAsiaTheme="minorEastAsia" w:hAnsiTheme="minorHAnsi" w:cstheme="minorBidi"/>
            <w:sz w:val="22"/>
            <w:szCs w:val="22"/>
            <w:lang w:val="en-AU" w:eastAsia="en-AU"/>
          </w:rPr>
          <w:tab/>
        </w:r>
        <w:r w:rsidRPr="000F11FB">
          <w:rPr>
            <w:rStyle w:val="Hyperlink"/>
            <w:rFonts w:cs="Arial"/>
            <w:color w:val="000000" w:themeColor="text1"/>
          </w:rPr>
          <w:t>AEDC additional resources</w:t>
        </w:r>
        <w:r w:rsidRPr="000F11FB">
          <w:rPr>
            <w:webHidden/>
          </w:rPr>
          <w:tab/>
        </w:r>
        <w:r w:rsidRPr="000F11FB">
          <w:rPr>
            <w:webHidden/>
          </w:rPr>
          <w:fldChar w:fldCharType="begin"/>
        </w:r>
        <w:r w:rsidRPr="000F11FB">
          <w:rPr>
            <w:webHidden/>
          </w:rPr>
          <w:instrText xml:space="preserve"> PAGEREF _Toc99530580 \h </w:instrText>
        </w:r>
        <w:r w:rsidRPr="000F11FB">
          <w:rPr>
            <w:webHidden/>
          </w:rPr>
        </w:r>
        <w:r w:rsidRPr="000F11FB">
          <w:rPr>
            <w:webHidden/>
          </w:rPr>
          <w:fldChar w:fldCharType="separate"/>
        </w:r>
        <w:r w:rsidRPr="000F11FB">
          <w:rPr>
            <w:webHidden/>
          </w:rPr>
          <w:t>52</w:t>
        </w:r>
        <w:r w:rsidRPr="000F11FB">
          <w:rPr>
            <w:webHidden/>
          </w:rPr>
          <w:fldChar w:fldCharType="end"/>
        </w:r>
      </w:hyperlink>
    </w:p>
    <w:p w14:paraId="7D84C0EB" w14:textId="2B39F01B" w:rsidR="00F46E19" w:rsidRPr="000F11FB" w:rsidRDefault="00F46E19">
      <w:pPr>
        <w:pStyle w:val="TOC1"/>
        <w:rPr>
          <w:rFonts w:asciiTheme="minorHAnsi" w:eastAsiaTheme="minorEastAsia" w:hAnsiTheme="minorHAnsi" w:cstheme="minorBidi"/>
          <w:sz w:val="22"/>
          <w:szCs w:val="22"/>
          <w:lang w:val="en-AU" w:eastAsia="en-AU"/>
        </w:rPr>
      </w:pPr>
      <w:hyperlink w:anchor="_Toc99530581" w:history="1">
        <w:r w:rsidRPr="000F11FB">
          <w:rPr>
            <w:rStyle w:val="Hyperlink"/>
            <w:rFonts w:cs="Arial"/>
            <w:color w:val="000000" w:themeColor="text1"/>
          </w:rPr>
          <w:t>Appendix 5</w:t>
        </w:r>
        <w:r w:rsidRPr="000F11FB">
          <w:rPr>
            <w:rFonts w:asciiTheme="minorHAnsi" w:eastAsiaTheme="minorEastAsia" w:hAnsiTheme="minorHAnsi" w:cstheme="minorBidi"/>
            <w:sz w:val="22"/>
            <w:szCs w:val="22"/>
            <w:lang w:val="en-AU" w:eastAsia="en-AU"/>
          </w:rPr>
          <w:tab/>
        </w:r>
        <w:r w:rsidRPr="000F11FB">
          <w:rPr>
            <w:rStyle w:val="Hyperlink"/>
            <w:rFonts w:cs="Arial"/>
            <w:color w:val="000000" w:themeColor="text1"/>
          </w:rPr>
          <w:t>Glossary</w:t>
        </w:r>
        <w:r w:rsidRPr="000F11FB">
          <w:rPr>
            <w:webHidden/>
          </w:rPr>
          <w:tab/>
        </w:r>
        <w:r w:rsidRPr="000F11FB">
          <w:rPr>
            <w:webHidden/>
          </w:rPr>
          <w:fldChar w:fldCharType="begin"/>
        </w:r>
        <w:r w:rsidRPr="000F11FB">
          <w:rPr>
            <w:webHidden/>
          </w:rPr>
          <w:instrText xml:space="preserve"> PAGEREF _Toc99530581 \h </w:instrText>
        </w:r>
        <w:r w:rsidRPr="000F11FB">
          <w:rPr>
            <w:webHidden/>
          </w:rPr>
        </w:r>
        <w:r w:rsidRPr="000F11FB">
          <w:rPr>
            <w:webHidden/>
          </w:rPr>
          <w:fldChar w:fldCharType="separate"/>
        </w:r>
        <w:r w:rsidRPr="000F11FB">
          <w:rPr>
            <w:webHidden/>
          </w:rPr>
          <w:t>54</w:t>
        </w:r>
        <w:r w:rsidRPr="000F11FB">
          <w:rPr>
            <w:webHidden/>
          </w:rPr>
          <w:fldChar w:fldCharType="end"/>
        </w:r>
      </w:hyperlink>
    </w:p>
    <w:p w14:paraId="0359B536" w14:textId="68E9F5FF" w:rsidR="00613F4D" w:rsidRPr="00392E0D" w:rsidRDefault="00111155" w:rsidP="00111155">
      <w:pPr>
        <w:pStyle w:val="TOC1"/>
        <w:rPr>
          <w:rFonts w:cs="Arial"/>
        </w:rPr>
      </w:pPr>
      <w:r w:rsidRPr="000F11FB">
        <w:rPr>
          <w:rFonts w:cs="Arial"/>
        </w:rPr>
        <w:fldChar w:fldCharType="end"/>
      </w:r>
      <w:r w:rsidR="00613F4D" w:rsidRPr="00392E0D">
        <w:rPr>
          <w:rFonts w:cs="Arial"/>
        </w:rPr>
        <w:br w:type="page"/>
      </w:r>
    </w:p>
    <w:p w14:paraId="6ED8E600" w14:textId="4196C445" w:rsidR="00613F4D" w:rsidRPr="00392E0D" w:rsidRDefault="00613F4D" w:rsidP="001E1A5B">
      <w:pPr>
        <w:pStyle w:val="Heading1"/>
        <w:rPr>
          <w:rFonts w:cs="Arial"/>
        </w:rPr>
      </w:pPr>
      <w:bookmarkStart w:id="0" w:name="_Toc99530565"/>
      <w:r w:rsidRPr="00392E0D">
        <w:rPr>
          <w:rFonts w:cs="Arial"/>
        </w:rPr>
        <w:lastRenderedPageBreak/>
        <w:t>Executive summary</w:t>
      </w:r>
      <w:bookmarkEnd w:id="0"/>
    </w:p>
    <w:p w14:paraId="621BEC21" w14:textId="77777777" w:rsidR="00613F4D" w:rsidRPr="00392E0D" w:rsidRDefault="00613F4D" w:rsidP="002D6FDC">
      <w:pPr>
        <w:pStyle w:val="Heading2"/>
        <w:rPr>
          <w:rFonts w:cs="Arial"/>
        </w:rPr>
      </w:pPr>
      <w:r w:rsidRPr="00392E0D">
        <w:rPr>
          <w:rFonts w:cs="Arial"/>
        </w:rPr>
        <w:t>12 years of the AEDC</w:t>
      </w:r>
    </w:p>
    <w:p w14:paraId="4FCACC38" w14:textId="6608C631" w:rsidR="00613F4D" w:rsidRPr="00392E0D" w:rsidRDefault="00613F4D" w:rsidP="002D6FDC">
      <w:pPr>
        <w:pStyle w:val="Body"/>
        <w:rPr>
          <w:rFonts w:cs="Arial"/>
        </w:rPr>
      </w:pPr>
      <w:r w:rsidRPr="00392E0D">
        <w:rPr>
          <w:rFonts w:cs="Arial"/>
        </w:rPr>
        <w:t xml:space="preserve">Over a decade ago, the Australian Government invested in the Australian Early Development Census (AEDC), </w:t>
      </w:r>
      <w:proofErr w:type="spellStart"/>
      <w:r w:rsidRPr="00392E0D">
        <w:rPr>
          <w:rFonts w:cs="Arial"/>
        </w:rPr>
        <w:t>recognising</w:t>
      </w:r>
      <w:proofErr w:type="spellEnd"/>
      <w:r w:rsidRPr="00392E0D">
        <w:rPr>
          <w:rFonts w:cs="Arial"/>
        </w:rPr>
        <w:t xml:space="preserve"> that early childhood development is foundational for children’s later health, wellbeing and life chances. Five collections have now taken place and the policy, community and research insights it has afforded are immense.</w:t>
      </w:r>
    </w:p>
    <w:p w14:paraId="2CBB8467" w14:textId="3202B10A" w:rsidR="00613F4D" w:rsidRPr="00392E0D" w:rsidRDefault="00613F4D" w:rsidP="002D6FDC">
      <w:pPr>
        <w:pStyle w:val="Body"/>
        <w:rPr>
          <w:rFonts w:cs="Arial"/>
        </w:rPr>
      </w:pPr>
      <w:r w:rsidRPr="00392E0D">
        <w:rPr>
          <w:rFonts w:cs="Arial"/>
        </w:rPr>
        <w:t>We have seen the contribution our early childhood education and care systems make to children’s early development</w:t>
      </w:r>
      <w:r w:rsidR="009F61BE" w:rsidRPr="00392E0D">
        <w:rPr>
          <w:rStyle w:val="FootnoteReference"/>
          <w:rFonts w:cs="Arial"/>
        </w:rPr>
        <w:footnoteReference w:id="1"/>
      </w:r>
      <w:r w:rsidRPr="00392E0D">
        <w:rPr>
          <w:rFonts w:cs="Arial"/>
        </w:rPr>
        <w:t>. Research using the AEDC has shown us that when children have a strong start, it supports them to do well in schooling and beyond</w:t>
      </w:r>
      <w:r w:rsidR="009F61BE" w:rsidRPr="00392E0D">
        <w:rPr>
          <w:rStyle w:val="FootnoteReference"/>
          <w:rFonts w:cs="Arial"/>
        </w:rPr>
        <w:footnoteReference w:id="2"/>
      </w:r>
      <w:r w:rsidRPr="00392E0D">
        <w:rPr>
          <w:rFonts w:cs="Arial"/>
        </w:rPr>
        <w:t xml:space="preserve">. In Australia, the early learning and </w:t>
      </w:r>
      <w:proofErr w:type="gramStart"/>
      <w:r w:rsidRPr="00392E0D">
        <w:rPr>
          <w:rFonts w:cs="Arial"/>
        </w:rPr>
        <w:t>child care</w:t>
      </w:r>
      <w:proofErr w:type="gramEnd"/>
      <w:r w:rsidRPr="00392E0D">
        <w:rPr>
          <w:rFonts w:cs="Arial"/>
        </w:rPr>
        <w:t xml:space="preserve"> system includes programs such as playgroups, Child Care Subsidy approved services such as Centre Based Day Care and Outside School Hours Care, and preschool/kindergarten. Each plays a role in meeting the needs of families and providing rich early learning experiences for children.</w:t>
      </w:r>
    </w:p>
    <w:p w14:paraId="14E32597" w14:textId="0CA28A4C" w:rsidR="00613F4D" w:rsidRPr="00392E0D" w:rsidRDefault="00613F4D" w:rsidP="002D6FDC">
      <w:pPr>
        <w:pStyle w:val="Body"/>
        <w:rPr>
          <w:rFonts w:cs="Arial"/>
        </w:rPr>
      </w:pPr>
      <w:r w:rsidRPr="00392E0D">
        <w:rPr>
          <w:rFonts w:cs="Arial"/>
        </w:rPr>
        <w:t xml:space="preserve">The AEDC also demonstrates the significant investment families make in their children’s lives. An investment that not only benefits their children but contributes to the wellbeing of our nation. While the AEDC measures the development of children’s early development, we </w:t>
      </w:r>
      <w:proofErr w:type="spellStart"/>
      <w:r w:rsidRPr="00392E0D">
        <w:rPr>
          <w:rFonts w:cs="Arial"/>
        </w:rPr>
        <w:t>recognise</w:t>
      </w:r>
      <w:proofErr w:type="spellEnd"/>
      <w:r w:rsidRPr="00392E0D">
        <w:rPr>
          <w:rFonts w:cs="Arial"/>
        </w:rPr>
        <w:t xml:space="preserve"> that the lives of children across Australia differ in important ways. Culture, connection and belonging are vital for children’s wellbeing and later life in ways that are currently not measured well. The AEDC is working with communities to explore how we can do this better.</w:t>
      </w:r>
    </w:p>
    <w:p w14:paraId="6CEA1331" w14:textId="1B2F1C16" w:rsidR="00613F4D" w:rsidRPr="00392E0D" w:rsidRDefault="00613F4D" w:rsidP="002D6FDC">
      <w:pPr>
        <w:pStyle w:val="Body"/>
        <w:rPr>
          <w:rFonts w:cs="Arial"/>
        </w:rPr>
      </w:pPr>
      <w:r w:rsidRPr="00392E0D">
        <w:rPr>
          <w:rFonts w:cs="Arial"/>
        </w:rPr>
        <w:t>While many children experience early environments that stimulate their development and learning, the AEDC makes evident persistent equity gaps in children’s development. While our early years systems are some of the most comprehensive in the world – with strong universal services and targeted supports that are making a difference for many children and families</w:t>
      </w:r>
      <w:r w:rsidR="00960F5A">
        <w:rPr>
          <w:rFonts w:cs="Arial"/>
        </w:rPr>
        <w:t xml:space="preserve"> -</w:t>
      </w:r>
      <w:r w:rsidRPr="00392E0D">
        <w:rPr>
          <w:rFonts w:cs="Arial"/>
        </w:rPr>
        <w:t xml:space="preserve"> there is always room for improvement. The AEDC shows where we need to work differently to improve the experiences of children and families in the first five years of life.</w:t>
      </w:r>
    </w:p>
    <w:p w14:paraId="6AEF1E1B" w14:textId="77777777" w:rsidR="00613F4D" w:rsidRPr="00392E0D" w:rsidRDefault="00613F4D" w:rsidP="002D6FDC">
      <w:pPr>
        <w:pStyle w:val="Heading2"/>
        <w:rPr>
          <w:rFonts w:cs="Arial"/>
        </w:rPr>
      </w:pPr>
      <w:r w:rsidRPr="00392E0D">
        <w:rPr>
          <w:rFonts w:cs="Arial"/>
        </w:rPr>
        <w:t>AEDC and COVID-19</w:t>
      </w:r>
    </w:p>
    <w:p w14:paraId="280A958D" w14:textId="4122B7CD" w:rsidR="00613F4D" w:rsidRPr="00392E0D" w:rsidRDefault="00613F4D" w:rsidP="002D6FDC">
      <w:pPr>
        <w:pStyle w:val="Body"/>
        <w:rPr>
          <w:rFonts w:cs="Arial"/>
        </w:rPr>
      </w:pPr>
      <w:r w:rsidRPr="00392E0D">
        <w:rPr>
          <w:rFonts w:cs="Arial"/>
        </w:rPr>
        <w:t xml:space="preserve">AEDC data from 2021 provides an insight into the early effects of the COVID-19 pandemic on children and families. Across Australia, children who started school in 2021 experienced some disruption to their early learning participation. Our education systems responded and adapted their programs. For many families the pandemic enabled them to spend more time connecting with their children and their early learning experiences. AEDC data from this collection reflects both the challenges and the benefits during this time. While the percentage of children on track in their early literacy skills has </w:t>
      </w:r>
      <w:r w:rsidRPr="004A4EC9">
        <w:rPr>
          <w:rFonts w:cs="Arial"/>
        </w:rPr>
        <w:t xml:space="preserve">declined (see Table </w:t>
      </w:r>
      <w:r w:rsidR="004A4EC9" w:rsidRPr="004A4EC9">
        <w:rPr>
          <w:rFonts w:cs="Arial"/>
        </w:rPr>
        <w:t>5</w:t>
      </w:r>
      <w:r w:rsidRPr="004A4EC9">
        <w:rPr>
          <w:rFonts w:cs="Arial"/>
        </w:rPr>
        <w:t xml:space="preserve"> ‘National trends by domain’), changes in the AEDC data are largely constrained to this domain. Nevertheless, this lost ground is most evident where there was existing developmental disadvantage</w:t>
      </w:r>
      <w:r w:rsidRPr="00392E0D">
        <w:rPr>
          <w:rFonts w:cs="Arial"/>
        </w:rPr>
        <w:t>. These changes in the AEDC highlight the importance of ensuring younger cohorts are well supported over the coming years with a focus on mitigating impacts for families most affected in their access to employment, social support, and early education and care (refer to ‘Focus on equity groups’ section).</w:t>
      </w:r>
    </w:p>
    <w:p w14:paraId="39181C4A" w14:textId="77777777" w:rsidR="00613F4D" w:rsidRPr="00392E0D" w:rsidRDefault="00613F4D" w:rsidP="002D6FDC">
      <w:pPr>
        <w:pStyle w:val="Heading2"/>
        <w:rPr>
          <w:rFonts w:cs="Arial"/>
        </w:rPr>
      </w:pPr>
      <w:r w:rsidRPr="00392E0D">
        <w:rPr>
          <w:rFonts w:cs="Arial"/>
        </w:rPr>
        <w:t>Change in the AEDC over 12 years</w:t>
      </w:r>
    </w:p>
    <w:p w14:paraId="7FC23B3F" w14:textId="6A210B82" w:rsidR="001A4E03" w:rsidRPr="00392E0D" w:rsidRDefault="00613F4D" w:rsidP="00F95348">
      <w:pPr>
        <w:pStyle w:val="Body"/>
        <w:rPr>
          <w:rFonts w:cs="Arial"/>
        </w:rPr>
      </w:pPr>
      <w:r w:rsidRPr="00392E0D">
        <w:rPr>
          <w:rFonts w:cs="Arial"/>
        </w:rPr>
        <w:t xml:space="preserve">Around 300,000 children have been included in each collection of the AEDC, totaling around 1.5 million children. This has provided a rich and robust picture of child development in Australia. With this many children </w:t>
      </w:r>
      <w:proofErr w:type="gramStart"/>
      <w:r w:rsidRPr="00392E0D">
        <w:rPr>
          <w:rFonts w:cs="Arial"/>
        </w:rPr>
        <w:t>included,</w:t>
      </w:r>
      <w:proofErr w:type="gramEnd"/>
      <w:r w:rsidRPr="00392E0D">
        <w:rPr>
          <w:rFonts w:cs="Arial"/>
        </w:rPr>
        <w:t xml:space="preserve"> the changes over time can appear to be small, but they are significant with real impacts seen at the community level. In 2009, 23.6 per cent of children were developmentally vulnerable in at least one area of their development and in 2021 that number has decreased to 22.0 per cent. At the same time, in 2021, 11.4 per cent of children were developmentally vulnerable in two or more areas of their development, compared to 11.8 per cent in 2009. This highlights the fact that substantial support is still needed for these children to have the best chance of thriving through their schooling years.</w:t>
      </w:r>
    </w:p>
    <w:p w14:paraId="62D7D94F" w14:textId="77777777" w:rsidR="001A4E03" w:rsidRPr="00392E0D" w:rsidRDefault="001A4E03" w:rsidP="002D6FDC">
      <w:pPr>
        <w:pStyle w:val="Heading2"/>
        <w:rPr>
          <w:rFonts w:cs="Arial"/>
        </w:rPr>
      </w:pPr>
      <w:r w:rsidRPr="00392E0D">
        <w:rPr>
          <w:rFonts w:cs="Arial"/>
        </w:rPr>
        <w:lastRenderedPageBreak/>
        <w:t>A new summary indicator</w:t>
      </w:r>
    </w:p>
    <w:p w14:paraId="4F0620B4" w14:textId="61113FC8" w:rsidR="001A4E03" w:rsidRPr="00392E0D" w:rsidRDefault="001A4E03" w:rsidP="002D6FDC">
      <w:pPr>
        <w:pStyle w:val="Body"/>
        <w:rPr>
          <w:rFonts w:cs="Arial"/>
        </w:rPr>
      </w:pPr>
      <w:r w:rsidRPr="00392E0D">
        <w:rPr>
          <w:rFonts w:cs="Arial"/>
        </w:rPr>
        <w:t xml:space="preserve">In the past, reporting on the AEDC </w:t>
      </w:r>
      <w:proofErr w:type="spellStart"/>
      <w:r w:rsidRPr="00392E0D">
        <w:rPr>
          <w:rFonts w:cs="Arial"/>
        </w:rPr>
        <w:t>focussed</w:t>
      </w:r>
      <w:proofErr w:type="spellEnd"/>
      <w:r w:rsidRPr="00392E0D">
        <w:rPr>
          <w:rFonts w:cs="Arial"/>
        </w:rPr>
        <w:t xml:space="preserve"> on identifying and reporting rates of developmental vulnerability. Many have called for an indicator that shifts the focus to developmental strengths. In 2015, the multiple strengths indicator was introduced and since then work has been done to better capture children’s strength</w:t>
      </w:r>
      <w:r w:rsidR="00B805A4" w:rsidRPr="00392E0D">
        <w:rPr>
          <w:rStyle w:val="FootnoteReference"/>
          <w:rFonts w:cs="Arial"/>
        </w:rPr>
        <w:footnoteReference w:id="3"/>
      </w:r>
      <w:r w:rsidRPr="00392E0D">
        <w:rPr>
          <w:rFonts w:cs="Arial"/>
        </w:rPr>
        <w:t xml:space="preserve">. In 2021, the AEDC has added a new summary indicator reflecting this direction. The new indicator is referred to as ‘On track on five domains’ and it tells us how children have been supported across all areas of their development. </w:t>
      </w:r>
      <w:proofErr w:type="gramStart"/>
      <w:r w:rsidRPr="00392E0D">
        <w:rPr>
          <w:rFonts w:cs="Arial"/>
        </w:rPr>
        <w:t>At a glance</w:t>
      </w:r>
      <w:proofErr w:type="gramEnd"/>
      <w:r w:rsidRPr="00392E0D">
        <w:rPr>
          <w:rFonts w:cs="Arial"/>
        </w:rPr>
        <w:t>, the majority of children are developmentally on track on all five domains of early childhood development, and this had been steadily increasing over time, from around 50.7 per cent in 2009 to 55.4 per cent in 2018. In 2021, however, we saw a slight reversal in this trend, with the percentage of children who were on track on five domains decreasing to 54.8 per cent.</w:t>
      </w:r>
    </w:p>
    <w:p w14:paraId="541D66CB" w14:textId="77777777" w:rsidR="001A4E03" w:rsidRPr="00392E0D" w:rsidRDefault="001A4E03" w:rsidP="002D6FDC">
      <w:pPr>
        <w:pStyle w:val="Heading2"/>
        <w:rPr>
          <w:rFonts w:cs="Arial"/>
        </w:rPr>
      </w:pPr>
      <w:r w:rsidRPr="00392E0D">
        <w:rPr>
          <w:rFonts w:cs="Arial"/>
        </w:rPr>
        <w:t>Trends from the AEDC domains</w:t>
      </w:r>
    </w:p>
    <w:p w14:paraId="06FD5D54" w14:textId="77777777" w:rsidR="001A4E03" w:rsidRPr="00392E0D" w:rsidRDefault="001A4E03" w:rsidP="002D6FDC">
      <w:pPr>
        <w:pStyle w:val="Body"/>
        <w:rPr>
          <w:rFonts w:cs="Arial"/>
        </w:rPr>
      </w:pPr>
      <w:r w:rsidRPr="00392E0D">
        <w:rPr>
          <w:rFonts w:cs="Arial"/>
        </w:rPr>
        <w:t>Over the past 12 years, we have seen variable changes in the AEDC domains, with gains made in some domains and mixed results in others.</w:t>
      </w:r>
    </w:p>
    <w:p w14:paraId="6D344420" w14:textId="4E80D4EF" w:rsidR="001A4E03" w:rsidRPr="00392E0D" w:rsidRDefault="001A4E03" w:rsidP="002D6FDC">
      <w:pPr>
        <w:pStyle w:val="Body"/>
        <w:rPr>
          <w:rFonts w:cs="Arial"/>
        </w:rPr>
      </w:pPr>
      <w:r w:rsidRPr="00392E0D">
        <w:rPr>
          <w:rFonts w:cs="Arial"/>
        </w:rPr>
        <w:t xml:space="preserve">The </w:t>
      </w:r>
      <w:r w:rsidRPr="00392E0D">
        <w:rPr>
          <w:rFonts w:cs="Arial"/>
          <w:b/>
          <w:bCs/>
        </w:rPr>
        <w:t>language and cognitive skills</w:t>
      </w:r>
      <w:r w:rsidRPr="00392E0D">
        <w:rPr>
          <w:rFonts w:cs="Arial"/>
        </w:rPr>
        <w:t xml:space="preserve"> (school-based) domain saw the largest improvement of any domain over the five cycles, </w:t>
      </w:r>
      <w:proofErr w:type="gramStart"/>
      <w:r w:rsidRPr="00392E0D">
        <w:rPr>
          <w:rFonts w:cs="Arial"/>
        </w:rPr>
        <w:t>in particular from</w:t>
      </w:r>
      <w:proofErr w:type="gramEnd"/>
      <w:r w:rsidRPr="00392E0D">
        <w:rPr>
          <w:rFonts w:cs="Arial"/>
        </w:rPr>
        <w:t xml:space="preserve"> 2009 to 2012. This domain measures aspects of children’s early literacy and numeracy skills. A small improvement was also seen in 2015, however, in 2021, we have seen a reversal in some of the early gains. Despite this, the percentage of children who are developmentally on track remains significantly higher in 2021 than in 2009.</w:t>
      </w:r>
    </w:p>
    <w:p w14:paraId="092678CA" w14:textId="77777777" w:rsidR="001A4E03" w:rsidRPr="00392E0D" w:rsidRDefault="001A4E03" w:rsidP="002D6FDC">
      <w:pPr>
        <w:pStyle w:val="Body"/>
        <w:rPr>
          <w:rFonts w:cs="Arial"/>
        </w:rPr>
      </w:pPr>
      <w:r w:rsidRPr="00392E0D">
        <w:rPr>
          <w:rFonts w:cs="Arial"/>
        </w:rPr>
        <w:t xml:space="preserve">The </w:t>
      </w:r>
      <w:r w:rsidRPr="00392E0D">
        <w:rPr>
          <w:rFonts w:cs="Arial"/>
          <w:b/>
          <w:bCs/>
        </w:rPr>
        <w:t>communication skills and general knowledge domain</w:t>
      </w:r>
      <w:r w:rsidRPr="00392E0D">
        <w:rPr>
          <w:rFonts w:cs="Arial"/>
        </w:rPr>
        <w:t xml:space="preserve"> has also improved over time. This domain measures how well children listen, talk and share their knowledge of the world around them. The percentage of children on track on this domain has improved from </w:t>
      </w:r>
      <w:proofErr w:type="gramStart"/>
      <w:r w:rsidRPr="00392E0D">
        <w:rPr>
          <w:rFonts w:cs="Arial"/>
        </w:rPr>
        <w:t>2009, but</w:t>
      </w:r>
      <w:proofErr w:type="gramEnd"/>
      <w:r w:rsidRPr="00392E0D">
        <w:rPr>
          <w:rFonts w:cs="Arial"/>
        </w:rPr>
        <w:t xml:space="preserve"> also showed a slight reversal of the previous positive trend in 2021.</w:t>
      </w:r>
    </w:p>
    <w:p w14:paraId="23F485EC" w14:textId="77777777" w:rsidR="001A4E03" w:rsidRPr="00392E0D" w:rsidRDefault="001A4E03" w:rsidP="002D6FDC">
      <w:pPr>
        <w:pStyle w:val="Body"/>
        <w:rPr>
          <w:rFonts w:cs="Arial"/>
        </w:rPr>
      </w:pPr>
      <w:r w:rsidRPr="00392E0D">
        <w:rPr>
          <w:rFonts w:cs="Arial"/>
        </w:rPr>
        <w:t xml:space="preserve">The </w:t>
      </w:r>
      <w:r w:rsidRPr="00392E0D">
        <w:rPr>
          <w:rFonts w:cs="Arial"/>
          <w:b/>
          <w:bCs/>
        </w:rPr>
        <w:t>emotional maturity domain</w:t>
      </w:r>
      <w:r w:rsidRPr="00392E0D">
        <w:rPr>
          <w:rFonts w:cs="Arial"/>
        </w:rPr>
        <w:t xml:space="preserve"> has also seen improvement from 2009. It measures children’s ability to regulate emotions, deal with upsets and help others. Nationally, we saw no significant change in this domain in 2021.</w:t>
      </w:r>
    </w:p>
    <w:p w14:paraId="430F224E" w14:textId="785BFDA7" w:rsidR="001A4E03" w:rsidRPr="00392E0D" w:rsidRDefault="001A4E03" w:rsidP="002D6FDC">
      <w:pPr>
        <w:pStyle w:val="Body"/>
        <w:rPr>
          <w:rFonts w:cs="Arial"/>
        </w:rPr>
      </w:pPr>
      <w:r w:rsidRPr="00392E0D">
        <w:rPr>
          <w:rFonts w:cs="Arial"/>
        </w:rPr>
        <w:t xml:space="preserve">The </w:t>
      </w:r>
      <w:r w:rsidRPr="00392E0D">
        <w:rPr>
          <w:rFonts w:cs="Arial"/>
          <w:b/>
          <w:bCs/>
        </w:rPr>
        <w:t>social competence domain</w:t>
      </w:r>
      <w:r w:rsidRPr="00392E0D">
        <w:rPr>
          <w:rFonts w:cs="Arial"/>
        </w:rPr>
        <w:t xml:space="preserve"> has had mixed results since 2009, with both the percentage of children who are developmentally on track and the percentage of children who are developmentally vulnerable higher in 2021 than in 2009. Meanwhile, the percentage of children that are developmentally at risk has decreased. This domain measures how children get along with their peers, adults and their ability to follow class routines and expectations. Unlike other domains, the percentage of children who are developmentally vulnerable on this domain showed improvement in 2021.</w:t>
      </w:r>
    </w:p>
    <w:p w14:paraId="48306720" w14:textId="06120B74" w:rsidR="001A4E03" w:rsidRPr="00392E0D" w:rsidRDefault="001A4E03" w:rsidP="002D6FDC">
      <w:pPr>
        <w:pStyle w:val="Body"/>
        <w:rPr>
          <w:rFonts w:cs="Arial"/>
        </w:rPr>
      </w:pPr>
      <w:r w:rsidRPr="00392E0D">
        <w:rPr>
          <w:rFonts w:cs="Arial"/>
        </w:rPr>
        <w:t xml:space="preserve">The physical health and wellbeing domain have also had mixed results since 2009. The domain measures three aspects of children’s development – fine and gross motor skills, independence in self-care tasks and readiness for the school day. On this domain, the percentage of children who are developmentally on track and the percentage of children who are developmentally vulnerable were both higher in 2021 than 2009. Meanwhile, the percentage of children that are developmentally at risk has decreased. </w:t>
      </w:r>
    </w:p>
    <w:p w14:paraId="4F93539D" w14:textId="77777777" w:rsidR="001A4E03" w:rsidRPr="00392E0D" w:rsidRDefault="001A4E03" w:rsidP="002D6FDC">
      <w:pPr>
        <w:pStyle w:val="Heading2"/>
        <w:rPr>
          <w:rFonts w:cs="Arial"/>
        </w:rPr>
      </w:pPr>
      <w:r w:rsidRPr="00392E0D">
        <w:rPr>
          <w:rFonts w:cs="Arial"/>
        </w:rPr>
        <w:t>AEDC equity trends</w:t>
      </w:r>
    </w:p>
    <w:p w14:paraId="487C9A6E" w14:textId="4347FD7F" w:rsidR="00B805A4" w:rsidRPr="00392E0D" w:rsidRDefault="001A4E03" w:rsidP="002D6FDC">
      <w:pPr>
        <w:pStyle w:val="Body"/>
        <w:rPr>
          <w:rFonts w:cs="Arial"/>
        </w:rPr>
      </w:pPr>
      <w:r w:rsidRPr="00392E0D">
        <w:rPr>
          <w:rFonts w:cs="Arial"/>
        </w:rPr>
        <w:t xml:space="preserve">Equity in children’s development is about the extent to which our society is fair for all children.  It is critical for the health and wellbeing of our future communities that all children have access to the same opportunities to thrive in their growth and development. The AEDC shows where equitable outcomes in the early years have been achieved and where more work is required to meet the needs of families living in communities with differences in their access to resources for raising children, for families whose first language is not English, and for Aboriginal and Torres Strait Islander children, amongst whose </w:t>
      </w:r>
      <w:proofErr w:type="gramStart"/>
      <w:r w:rsidRPr="00392E0D">
        <w:rPr>
          <w:rFonts w:cs="Arial"/>
        </w:rPr>
        <w:t>communities</w:t>
      </w:r>
      <w:proofErr w:type="gramEnd"/>
      <w:r w:rsidRPr="00392E0D">
        <w:rPr>
          <w:rFonts w:cs="Arial"/>
        </w:rPr>
        <w:t xml:space="preserve"> historical disadvantage persists.</w:t>
      </w:r>
    </w:p>
    <w:p w14:paraId="3BD4C5BB" w14:textId="77777777" w:rsidR="00B805A4" w:rsidRPr="00392E0D" w:rsidRDefault="00B805A4">
      <w:pPr>
        <w:widowControl/>
        <w:autoSpaceDE/>
        <w:autoSpaceDN/>
        <w:rPr>
          <w:rFonts w:ascii="Arial" w:eastAsia="Times New Roman" w:hAnsi="Arial" w:cs="Arial"/>
          <w:sz w:val="21"/>
          <w:szCs w:val="20"/>
        </w:rPr>
      </w:pPr>
      <w:r w:rsidRPr="00392E0D">
        <w:rPr>
          <w:rFonts w:ascii="Arial" w:hAnsi="Arial" w:cs="Arial"/>
        </w:rPr>
        <w:br w:type="page"/>
      </w:r>
    </w:p>
    <w:p w14:paraId="31EA8B2F" w14:textId="77777777" w:rsidR="00B805A4" w:rsidRPr="00392E0D" w:rsidRDefault="00B805A4" w:rsidP="002D6FDC">
      <w:pPr>
        <w:pStyle w:val="Heading2"/>
        <w:rPr>
          <w:rFonts w:cs="Arial"/>
        </w:rPr>
      </w:pPr>
      <w:r w:rsidRPr="00392E0D">
        <w:rPr>
          <w:rFonts w:cs="Arial"/>
        </w:rPr>
        <w:lastRenderedPageBreak/>
        <w:t>Aboriginal and Torres Strait Islander children</w:t>
      </w:r>
    </w:p>
    <w:p w14:paraId="0DEA5F45" w14:textId="0EF24FE0" w:rsidR="00B805A4" w:rsidRPr="00392E0D" w:rsidRDefault="00B805A4" w:rsidP="002D6FDC">
      <w:pPr>
        <w:pStyle w:val="Body"/>
        <w:rPr>
          <w:rFonts w:cs="Arial"/>
          <w:color w:val="000000" w:themeColor="text1"/>
        </w:rPr>
      </w:pPr>
      <w:proofErr w:type="spellStart"/>
      <w:r w:rsidRPr="00392E0D">
        <w:rPr>
          <w:rFonts w:cs="Arial"/>
        </w:rPr>
        <w:t>Recognising</w:t>
      </w:r>
      <w:proofErr w:type="spellEnd"/>
      <w:r w:rsidRPr="00392E0D">
        <w:rPr>
          <w:rFonts w:cs="Arial"/>
        </w:rPr>
        <w:t xml:space="preserve"> the importance of early childhood for children’s life chances, Australian governments, through the Closing the Gap initiative, have set a target to increase the percentage of Aboriginal and Torres Strait </w:t>
      </w:r>
      <w:r w:rsidRPr="00392E0D">
        <w:rPr>
          <w:rFonts w:cs="Arial"/>
          <w:color w:val="000000" w:themeColor="text1"/>
        </w:rPr>
        <w:t>Islander children who are on track on five domains to 55 per cent by 2031 (</w:t>
      </w:r>
      <w:hyperlink r:id="rId10">
        <w:r w:rsidRPr="00392E0D">
          <w:rPr>
            <w:rFonts w:eastAsia="Helvetica Neue LT Std 75" w:cs="Arial"/>
            <w:color w:val="000000" w:themeColor="text1"/>
            <w:szCs w:val="21"/>
            <w:u w:val="single" w:color="215E9E"/>
          </w:rPr>
          <w:t>pc.gov.</w:t>
        </w:r>
      </w:hyperlink>
      <w:r w:rsidRPr="00392E0D">
        <w:rPr>
          <w:rFonts w:eastAsia="Helvetica Neue LT Std 75" w:cs="Arial"/>
          <w:color w:val="000000" w:themeColor="text1"/>
          <w:spacing w:val="1"/>
          <w:szCs w:val="21"/>
        </w:rPr>
        <w:t xml:space="preserve"> </w:t>
      </w:r>
      <w:hyperlink r:id="rId11">
        <w:r w:rsidRPr="00392E0D">
          <w:rPr>
            <w:rFonts w:eastAsia="Helvetica Neue LT Std 75" w:cs="Arial"/>
            <w:color w:val="000000" w:themeColor="text1"/>
            <w:szCs w:val="21"/>
            <w:u w:val="single" w:color="215E9E"/>
          </w:rPr>
          <w:t>au/closing-the-gap-data/dashboard/</w:t>
        </w:r>
      </w:hyperlink>
      <w:r w:rsidRPr="00392E0D">
        <w:rPr>
          <w:rFonts w:eastAsia="Helvetica Neue LT Std 75" w:cs="Arial"/>
          <w:color w:val="000000" w:themeColor="text1"/>
          <w:spacing w:val="1"/>
          <w:szCs w:val="21"/>
        </w:rPr>
        <w:t xml:space="preserve"> </w:t>
      </w:r>
      <w:hyperlink r:id="rId12">
        <w:r w:rsidRPr="00392E0D">
          <w:rPr>
            <w:rFonts w:eastAsia="Helvetica Neue LT Std 75" w:cs="Arial"/>
            <w:color w:val="000000" w:themeColor="text1"/>
            <w:w w:val="95"/>
            <w:szCs w:val="21"/>
            <w:u w:val="single" w:color="215E9E"/>
          </w:rPr>
          <w:t>socioeconomic/outcome-area4</w:t>
        </w:r>
      </w:hyperlink>
      <w:r w:rsidRPr="00392E0D">
        <w:rPr>
          <w:rFonts w:cs="Arial"/>
          <w:color w:val="000000" w:themeColor="text1"/>
        </w:rPr>
        <w:t>). From 2009 to 2018, there had been a steady increase in the percentage of Aboriginal and Torres Strait Islander children on track on five domains.</w:t>
      </w:r>
    </w:p>
    <w:p w14:paraId="3F3292AD" w14:textId="230926FB" w:rsidR="00B805A4" w:rsidRPr="00392E0D" w:rsidRDefault="00B805A4" w:rsidP="002D6FDC">
      <w:pPr>
        <w:pStyle w:val="Body"/>
        <w:rPr>
          <w:rFonts w:cs="Arial"/>
        </w:rPr>
      </w:pPr>
      <w:r w:rsidRPr="00392E0D">
        <w:rPr>
          <w:rFonts w:cs="Arial"/>
        </w:rPr>
        <w:t>For the first time in 2021, the data shows a slight reversal in this trend, that reflects the same changes we see for all children nationally. These results were driven by decreases in the percentage of children on track in the physical health and wellbeing, language and cognitive skills (school-based) and communication skills and general knowledge domains in 2021. Positively, there was an increase in the percentage of children on track in their social competence in 2021.</w:t>
      </w:r>
    </w:p>
    <w:p w14:paraId="0DBCB0BA" w14:textId="301EAD26" w:rsidR="00B805A4" w:rsidRPr="00392E0D" w:rsidRDefault="00B805A4" w:rsidP="002D6FDC">
      <w:pPr>
        <w:pStyle w:val="Body"/>
        <w:rPr>
          <w:rFonts w:cs="Arial"/>
        </w:rPr>
      </w:pPr>
      <w:r w:rsidRPr="00392E0D">
        <w:rPr>
          <w:rFonts w:cs="Arial"/>
        </w:rPr>
        <w:t xml:space="preserve">The target set by Australian governments </w:t>
      </w:r>
      <w:proofErr w:type="spellStart"/>
      <w:r w:rsidRPr="00392E0D">
        <w:rPr>
          <w:rFonts w:cs="Arial"/>
        </w:rPr>
        <w:t>recognises</w:t>
      </w:r>
      <w:proofErr w:type="spellEnd"/>
      <w:r w:rsidRPr="00392E0D">
        <w:rPr>
          <w:rFonts w:cs="Arial"/>
        </w:rPr>
        <w:t xml:space="preserve"> that significant work is required to better support Aboriginal and Torres Strait Islander communities in ways that are different from what has gone before. There are communities where partnerships at the local level are creating conditions for children to thrive – places we can look to for better ways to work together.</w:t>
      </w:r>
    </w:p>
    <w:p w14:paraId="454B489D" w14:textId="12E5DB6C" w:rsidR="00B805A4" w:rsidRPr="00392E0D" w:rsidRDefault="00B805A4" w:rsidP="002D6FDC">
      <w:pPr>
        <w:pStyle w:val="Heading2"/>
        <w:rPr>
          <w:rFonts w:cs="Arial"/>
        </w:rPr>
      </w:pPr>
      <w:r w:rsidRPr="00392E0D">
        <w:rPr>
          <w:rFonts w:cs="Arial"/>
        </w:rPr>
        <w:t>Children living in socio-economically disadvantaged communities</w:t>
      </w:r>
    </w:p>
    <w:p w14:paraId="5FB38634" w14:textId="72B173D5" w:rsidR="00B805A4" w:rsidRPr="00392E0D" w:rsidRDefault="00B805A4" w:rsidP="002D6FDC">
      <w:pPr>
        <w:pStyle w:val="Body"/>
        <w:rPr>
          <w:rFonts w:cs="Arial"/>
        </w:rPr>
      </w:pPr>
      <w:r w:rsidRPr="00392E0D">
        <w:rPr>
          <w:rFonts w:cs="Arial"/>
        </w:rPr>
        <w:t>Children living in the most socio-economically disadvantaged communities are twice as likely to be vulnerable on one or more AEDC domains and three times more likely to be vulnerable on two or more domains compared to children living in communities with high levels of socio-economic advantage. In 2021, there was increased developmental vulnerability on one or more and two or more domains for children across the socio-economic spectrum but more so for children living in our most socio-economically disadvantaged areas, reversing previous progress. This was most evident in the language and cognitive skills (school-based) and physical health and wellbeing domains.</w:t>
      </w:r>
    </w:p>
    <w:p w14:paraId="2CD3BFB9" w14:textId="77777777" w:rsidR="00B805A4" w:rsidRPr="00392E0D" w:rsidRDefault="00B805A4" w:rsidP="002D6FDC">
      <w:pPr>
        <w:pStyle w:val="Heading2"/>
        <w:rPr>
          <w:rFonts w:cs="Arial"/>
        </w:rPr>
      </w:pPr>
      <w:r w:rsidRPr="00392E0D">
        <w:rPr>
          <w:rFonts w:cs="Arial"/>
        </w:rPr>
        <w:t>Children with diverse language backgrounds</w:t>
      </w:r>
    </w:p>
    <w:p w14:paraId="538D810B" w14:textId="58B098F7" w:rsidR="00B805A4" w:rsidRPr="00392E0D" w:rsidRDefault="00B805A4" w:rsidP="002D6FDC">
      <w:pPr>
        <w:pStyle w:val="Body"/>
        <w:rPr>
          <w:rFonts w:cs="Arial"/>
        </w:rPr>
      </w:pPr>
      <w:r w:rsidRPr="00392E0D">
        <w:rPr>
          <w:rFonts w:cs="Arial"/>
        </w:rPr>
        <w:t>More than one in four (26.8 per cent) children in Australia speak more than one language at home and some of these children are the first generation of their family to call Australia home. Since 2009, we have seen improvements in the percentage of children with a language background other than English who are developmentally on track across all domains.</w:t>
      </w:r>
    </w:p>
    <w:p w14:paraId="4E55A2EE" w14:textId="508CE6CC" w:rsidR="00B805A4" w:rsidRPr="00392E0D" w:rsidRDefault="00B805A4" w:rsidP="002D6FDC">
      <w:pPr>
        <w:pStyle w:val="Body"/>
        <w:rPr>
          <w:rFonts w:cs="Arial"/>
        </w:rPr>
      </w:pPr>
      <w:r w:rsidRPr="00392E0D">
        <w:rPr>
          <w:rFonts w:cs="Arial"/>
        </w:rPr>
        <w:t>In the areas of physical health and wellbeing and emotional maturity, as a group, children with a language background other than English have the lowest rates of developmental vulnerability in these domains. However, these children also have the highest rate of developmental vulnerability in their communication skills and general knowledge, reflecting early differences in the listening and speaking skills of children who speak multiple languages (see ‘Language diversity (</w:t>
      </w:r>
      <w:proofErr w:type="spellStart"/>
      <w:r w:rsidRPr="00392E0D">
        <w:rPr>
          <w:rFonts w:cs="Arial"/>
        </w:rPr>
        <w:t>LBOTE</w:t>
      </w:r>
      <w:proofErr w:type="spellEnd"/>
      <w:r w:rsidRPr="00392E0D">
        <w:rPr>
          <w:rFonts w:cs="Arial"/>
        </w:rPr>
        <w:t>)). It will be important to track how this progresses over the lifespan to ensure all children, regardless of their language background, can access learning and social opportunities in school.</w:t>
      </w:r>
    </w:p>
    <w:p w14:paraId="49DE2259" w14:textId="77777777" w:rsidR="00B805A4" w:rsidRPr="00392E0D" w:rsidRDefault="00B805A4" w:rsidP="002D6FDC">
      <w:pPr>
        <w:pStyle w:val="Heading2"/>
        <w:rPr>
          <w:rFonts w:cs="Arial"/>
        </w:rPr>
      </w:pPr>
      <w:r w:rsidRPr="00392E0D">
        <w:rPr>
          <w:rFonts w:cs="Arial"/>
        </w:rPr>
        <w:t>Children living in regional and remote areas</w:t>
      </w:r>
    </w:p>
    <w:p w14:paraId="386CDC30" w14:textId="255DD718" w:rsidR="00B805A4" w:rsidRPr="00392E0D" w:rsidRDefault="00B805A4" w:rsidP="002D6FDC">
      <w:pPr>
        <w:pStyle w:val="Body"/>
        <w:rPr>
          <w:rFonts w:cs="Arial"/>
        </w:rPr>
      </w:pPr>
      <w:r w:rsidRPr="00392E0D">
        <w:rPr>
          <w:rFonts w:cs="Arial"/>
        </w:rPr>
        <w:t xml:space="preserve">While there are advantages to rural living, children growing up in regional and remote areas of Australia often have less access to services and supports. AEDC data reflects this with rates of developmental vulnerability increasing with increased distance from metropolitan </w:t>
      </w:r>
      <w:proofErr w:type="spellStart"/>
      <w:r w:rsidRPr="00392E0D">
        <w:rPr>
          <w:rFonts w:cs="Arial"/>
        </w:rPr>
        <w:t>centres</w:t>
      </w:r>
      <w:proofErr w:type="spellEnd"/>
      <w:r w:rsidRPr="00392E0D">
        <w:rPr>
          <w:rFonts w:cs="Arial"/>
        </w:rPr>
        <w:t>. For those children living in the remotest areas, this is compounded by adversities their communities face. In 2021, there was an increase in developmental vulnerability for children living in regional and remote areas, driven primarily by fewer children on track in their language and cognitive skills (school-based).</w:t>
      </w:r>
    </w:p>
    <w:p w14:paraId="1C117043" w14:textId="77777777" w:rsidR="00B805A4" w:rsidRPr="00392E0D" w:rsidRDefault="00B805A4">
      <w:pPr>
        <w:widowControl/>
        <w:autoSpaceDE/>
        <w:autoSpaceDN/>
        <w:rPr>
          <w:rFonts w:ascii="Arial" w:eastAsia="Times New Roman" w:hAnsi="Arial" w:cs="Arial"/>
          <w:sz w:val="21"/>
          <w:szCs w:val="20"/>
        </w:rPr>
      </w:pPr>
      <w:r w:rsidRPr="00392E0D">
        <w:rPr>
          <w:rFonts w:ascii="Arial" w:hAnsi="Arial" w:cs="Arial"/>
        </w:rPr>
        <w:br w:type="page"/>
      </w:r>
    </w:p>
    <w:p w14:paraId="781A4986" w14:textId="77777777" w:rsidR="00B805A4" w:rsidRPr="00392E0D" w:rsidRDefault="00B805A4" w:rsidP="002D6FDC">
      <w:pPr>
        <w:pStyle w:val="Heading2"/>
        <w:rPr>
          <w:rFonts w:cs="Arial"/>
        </w:rPr>
      </w:pPr>
      <w:r w:rsidRPr="00392E0D">
        <w:rPr>
          <w:rFonts w:cs="Arial"/>
        </w:rPr>
        <w:lastRenderedPageBreak/>
        <w:t>Key findings</w:t>
      </w:r>
    </w:p>
    <w:p w14:paraId="096B9398" w14:textId="584CFED2" w:rsidR="00B805A4" w:rsidRPr="00392E0D" w:rsidRDefault="00B805A4" w:rsidP="002D6FDC">
      <w:pPr>
        <w:pStyle w:val="Body"/>
        <w:rPr>
          <w:rFonts w:cs="Arial"/>
        </w:rPr>
      </w:pPr>
      <w:r w:rsidRPr="00392E0D">
        <w:rPr>
          <w:rFonts w:cs="Arial"/>
        </w:rPr>
        <w:t xml:space="preserve">The 2021 AEDC data shows </w:t>
      </w:r>
      <w:proofErr w:type="gramStart"/>
      <w:r w:rsidRPr="00392E0D">
        <w:rPr>
          <w:rFonts w:cs="Arial"/>
        </w:rPr>
        <w:t>the majority of</w:t>
      </w:r>
      <w:proofErr w:type="gramEnd"/>
      <w:r w:rsidRPr="00392E0D">
        <w:rPr>
          <w:rFonts w:cs="Arial"/>
        </w:rPr>
        <w:t xml:space="preserve"> children were identified as ‘developmentally on track’ for each of the five AEDC domains, consistent with the five collections to date. Between 2018 and 2021, however, the percentage of children who were on track on five domains decreased for the first time since 2009 (from 55.4 per cent in 2018 to 54.8 per cent in 2021).</w:t>
      </w:r>
    </w:p>
    <w:p w14:paraId="7F09F1A7" w14:textId="77777777" w:rsidR="00B805A4" w:rsidRPr="00392E0D" w:rsidRDefault="00B805A4" w:rsidP="002D6FDC">
      <w:pPr>
        <w:pStyle w:val="Body"/>
        <w:rPr>
          <w:rFonts w:cs="Arial"/>
        </w:rPr>
      </w:pPr>
      <w:r w:rsidRPr="00392E0D">
        <w:rPr>
          <w:rFonts w:cs="Arial"/>
        </w:rPr>
        <w:t>The 2021 AEDC data also show a small but significant increase in the percentage of children who were ‘developmentally vulnerable’. In 2021, the percentage of children developmentally vulnerable on one or more domain(s) increased from 21.7 per cent in 2018 to 22.0 per cent in 2021. The percentage of children who were developmentally vulnerable on two or more domains also increased from 11.0 per cent in 2018 to 11.4 per cent in 2021.</w:t>
      </w:r>
    </w:p>
    <w:p w14:paraId="3B887FCA" w14:textId="77777777" w:rsidR="00B805A4" w:rsidRPr="00392E0D" w:rsidRDefault="00B805A4" w:rsidP="002D6FDC">
      <w:pPr>
        <w:pStyle w:val="Body"/>
        <w:rPr>
          <w:rFonts w:cs="Arial"/>
        </w:rPr>
      </w:pPr>
      <w:r w:rsidRPr="00392E0D">
        <w:rPr>
          <w:rFonts w:cs="Arial"/>
        </w:rPr>
        <w:t>For each of the five AEDC domains, the following changes were observed between 2018 and 2021:</w:t>
      </w:r>
    </w:p>
    <w:p w14:paraId="25E94F23" w14:textId="0E36DBD3" w:rsidR="00B805A4" w:rsidRPr="00392E0D" w:rsidRDefault="00B805A4" w:rsidP="002D6FDC">
      <w:pPr>
        <w:pStyle w:val="Bullets1"/>
        <w:rPr>
          <w:rFonts w:cs="Arial"/>
        </w:rPr>
      </w:pPr>
      <w:r w:rsidRPr="00392E0D">
        <w:rPr>
          <w:rFonts w:cs="Arial"/>
        </w:rPr>
        <w:t>The language and cognitive skills (school-based) domain saw the most significant shift in 2021. The percentage of children who were developmentally vulnerable on this domain increased from 6.6 per cent in 2018 to 7.3 per cent in 2021. The percentage of children who were on track, meanwhile, decreased from 84.4 per cent in 2018 to 82.6 per cent in 2021.</w:t>
      </w:r>
    </w:p>
    <w:p w14:paraId="00163EAF" w14:textId="050E4D34" w:rsidR="00B805A4" w:rsidRPr="00392E0D" w:rsidRDefault="00B805A4" w:rsidP="002D6FDC">
      <w:pPr>
        <w:pStyle w:val="Bullets1"/>
        <w:rPr>
          <w:rFonts w:cs="Arial"/>
        </w:rPr>
      </w:pPr>
      <w:r w:rsidRPr="00392E0D">
        <w:rPr>
          <w:rFonts w:cs="Arial"/>
        </w:rPr>
        <w:t>In the physical health and wellbeing domain there was a small increase in the percentage of children who are developmentally vulnerable; from 9.6 per cent in 2018 to 9.8 per cent in 2021.</w:t>
      </w:r>
    </w:p>
    <w:p w14:paraId="706F79F1" w14:textId="743D7ADF" w:rsidR="00B805A4" w:rsidRPr="00392E0D" w:rsidRDefault="00B805A4" w:rsidP="002D6FDC">
      <w:pPr>
        <w:pStyle w:val="Bullets1"/>
        <w:rPr>
          <w:rFonts w:cs="Arial"/>
        </w:rPr>
      </w:pPr>
      <w:r w:rsidRPr="00392E0D">
        <w:rPr>
          <w:rFonts w:cs="Arial"/>
        </w:rPr>
        <w:t>The social competence domain was the only domain where the level of vulnerability decreased (from 9.8 per cent in 2018 to 9.6 per cent in 2021). The percentage of children on track on this domain, meanwhile, improved slightly from 75.8 per cent in 2018 to 75.9 per cent in 2021.</w:t>
      </w:r>
    </w:p>
    <w:p w14:paraId="3B715DCA" w14:textId="0BFCBACD" w:rsidR="00B805A4" w:rsidRPr="00392E0D" w:rsidRDefault="00B805A4" w:rsidP="002D6FDC">
      <w:pPr>
        <w:pStyle w:val="Bullets1"/>
        <w:rPr>
          <w:rFonts w:cs="Arial"/>
        </w:rPr>
      </w:pPr>
      <w:r w:rsidRPr="00392E0D">
        <w:rPr>
          <w:rFonts w:cs="Arial"/>
        </w:rPr>
        <w:t>The progressive gains made on the communication skills and general knowledge domain since 2009 have not continued in 2021, with results at a similar level to 2015. The percentage of vulnerable children increased from 8.2 per cent in 2018 to 8.4 per cent in 2021. Conversely, the percentage of children on track on this domain decreased by 0.2 percentage points to 77.1 per cent in 2021.</w:t>
      </w:r>
    </w:p>
    <w:p w14:paraId="371114F5" w14:textId="34DDEF69" w:rsidR="00B805A4" w:rsidRPr="00392E0D" w:rsidRDefault="00B805A4" w:rsidP="002D6FDC">
      <w:pPr>
        <w:pStyle w:val="Bullets1"/>
        <w:rPr>
          <w:rFonts w:cs="Arial"/>
        </w:rPr>
      </w:pPr>
      <w:r w:rsidRPr="00392E0D">
        <w:rPr>
          <w:rFonts w:cs="Arial"/>
        </w:rPr>
        <w:t>The emotional maturity domain also saw a slight increase in the percentage of children developmentally vulnerable (from 8.4 per cent in 2018 to 8.5 per cent in 2021) and a decrease in the percentage of children on track on this domain (from 77.1 per cent in 2018 to 77.0 per cent in 2021).</w:t>
      </w:r>
    </w:p>
    <w:p w14:paraId="66B2BD90" w14:textId="77777777" w:rsidR="00B805A4" w:rsidRPr="00392E0D" w:rsidRDefault="00B805A4">
      <w:pPr>
        <w:widowControl/>
        <w:autoSpaceDE/>
        <w:autoSpaceDN/>
        <w:rPr>
          <w:rFonts w:ascii="Arial" w:eastAsia="Times New Roman" w:hAnsi="Arial" w:cs="Arial"/>
          <w:sz w:val="21"/>
          <w:szCs w:val="20"/>
        </w:rPr>
      </w:pPr>
      <w:r w:rsidRPr="00392E0D">
        <w:rPr>
          <w:rFonts w:ascii="Arial" w:hAnsi="Arial" w:cs="Arial"/>
        </w:rPr>
        <w:br w:type="page"/>
      </w:r>
    </w:p>
    <w:p w14:paraId="2A07CDA0" w14:textId="77777777" w:rsidR="00B805A4" w:rsidRPr="00392E0D" w:rsidRDefault="00B805A4" w:rsidP="001E1A5B">
      <w:pPr>
        <w:pStyle w:val="Heading1"/>
        <w:rPr>
          <w:rFonts w:cs="Arial"/>
        </w:rPr>
      </w:pPr>
      <w:bookmarkStart w:id="1" w:name="_Toc99530566"/>
      <w:r w:rsidRPr="00392E0D">
        <w:rPr>
          <w:rFonts w:cs="Arial"/>
        </w:rPr>
        <w:lastRenderedPageBreak/>
        <w:t>AEDC domain and summary indicator guide</w:t>
      </w:r>
      <w:bookmarkEnd w:id="1"/>
    </w:p>
    <w:p w14:paraId="1F4A2BDC" w14:textId="77777777" w:rsidR="00B805A4" w:rsidRPr="00392E0D" w:rsidRDefault="00B805A4" w:rsidP="002D6FDC">
      <w:pPr>
        <w:pStyle w:val="Heading2"/>
        <w:rPr>
          <w:rFonts w:cs="Arial"/>
        </w:rPr>
      </w:pPr>
      <w:r w:rsidRPr="00392E0D">
        <w:rPr>
          <w:rFonts w:cs="Arial"/>
        </w:rPr>
        <w:t>About the AEDC domains</w:t>
      </w:r>
    </w:p>
    <w:p w14:paraId="3137EDEC" w14:textId="62DFA4AD" w:rsidR="00613F4D" w:rsidRPr="00392E0D" w:rsidRDefault="00B805A4" w:rsidP="002D6FDC">
      <w:pPr>
        <w:pStyle w:val="Body"/>
        <w:rPr>
          <w:rFonts w:cs="Arial"/>
        </w:rPr>
      </w:pPr>
      <w:r w:rsidRPr="00392E0D">
        <w:rPr>
          <w:rFonts w:cs="Arial"/>
        </w:rPr>
        <w:t>AEDC data is collected using the Australian version of the Early Development Instrument (AvEDI), adapted from Canada</w:t>
      </w:r>
      <w:r w:rsidR="00DF5505" w:rsidRPr="00392E0D">
        <w:rPr>
          <w:rStyle w:val="FootnoteReference"/>
          <w:rFonts w:cs="Arial"/>
        </w:rPr>
        <w:footnoteReference w:id="4"/>
      </w:r>
      <w:r w:rsidRPr="00392E0D">
        <w:rPr>
          <w:rFonts w:cs="Arial"/>
        </w:rPr>
        <w:t xml:space="preserve">. Based on their knowledge and observations of children in their class, teachers respond to approximately 100 questions across the five domains of the AEDC, as described in </w:t>
      </w:r>
      <w:r w:rsidR="00A62B5D" w:rsidRPr="00392E0D">
        <w:rPr>
          <w:rFonts w:cs="Arial"/>
        </w:rPr>
        <w:t>Table 1.</w:t>
      </w:r>
    </w:p>
    <w:p w14:paraId="02D64291" w14:textId="20290AE0" w:rsidR="00B805A4" w:rsidRPr="00392E0D" w:rsidRDefault="00A62B5D" w:rsidP="00A62B5D">
      <w:pPr>
        <w:pStyle w:val="Caption"/>
        <w:rPr>
          <w:rFonts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w:t>
      </w:r>
      <w:r w:rsidRPr="00392E0D">
        <w:rPr>
          <w:rFonts w:cs="Arial"/>
        </w:rPr>
        <w:fldChar w:fldCharType="end"/>
      </w:r>
      <w:r w:rsidR="003F5E72" w:rsidRPr="00392E0D">
        <w:rPr>
          <w:rFonts w:cs="Arial"/>
        </w:rPr>
        <w:tab/>
        <w:t>AEDC domain descriptions</w:t>
      </w:r>
    </w:p>
    <w:tbl>
      <w:tblPr>
        <w:tblStyle w:val="TableGrid"/>
        <w:tblW w:w="10248" w:type="dxa"/>
        <w:tblLayout w:type="fixed"/>
        <w:tblLook w:val="04A0" w:firstRow="1" w:lastRow="0" w:firstColumn="1" w:lastColumn="0" w:noHBand="0" w:noVBand="1"/>
      </w:tblPr>
      <w:tblGrid>
        <w:gridCol w:w="3186"/>
        <w:gridCol w:w="7062"/>
      </w:tblGrid>
      <w:tr w:rsidR="00B805A4" w:rsidRPr="00392E0D" w14:paraId="06C08826" w14:textId="77777777" w:rsidTr="002D6FDC">
        <w:trPr>
          <w:trHeight w:val="406"/>
        </w:trPr>
        <w:tc>
          <w:tcPr>
            <w:cnfStyle w:val="001000000000" w:firstRow="0" w:lastRow="0" w:firstColumn="1" w:lastColumn="0" w:oddVBand="0" w:evenVBand="0" w:oddHBand="0" w:evenHBand="0" w:firstRowFirstColumn="0" w:firstRowLastColumn="0" w:lastRowFirstColumn="0" w:lastRowLastColumn="0"/>
            <w:tcW w:w="3186" w:type="dxa"/>
          </w:tcPr>
          <w:p w14:paraId="0A04B73B" w14:textId="77777777" w:rsidR="00B805A4" w:rsidRPr="00392E0D" w:rsidRDefault="00B805A4" w:rsidP="00B805A4">
            <w:pPr>
              <w:widowControl/>
              <w:adjustRightInd w:val="0"/>
              <w:spacing w:before="120" w:after="120" w:line="264" w:lineRule="auto"/>
              <w:rPr>
                <w:rFonts w:ascii="Arial" w:eastAsiaTheme="minorHAnsi" w:hAnsi="Arial" w:cs="Arial"/>
                <w:b/>
                <w:bCs/>
                <w:color w:val="000000"/>
                <w:sz w:val="20"/>
                <w:szCs w:val="20"/>
                <w:lang w:val="en-AU"/>
              </w:rPr>
            </w:pPr>
            <w:r w:rsidRPr="00392E0D">
              <w:rPr>
                <w:rFonts w:ascii="Arial" w:eastAsiaTheme="minorHAnsi" w:hAnsi="Arial" w:cs="Arial"/>
                <w:b/>
                <w:bCs/>
                <w:color w:val="000000"/>
                <w:sz w:val="20"/>
                <w:szCs w:val="20"/>
                <w:lang w:val="en-AU"/>
              </w:rPr>
              <w:t>Physical health and wellbeing</w:t>
            </w:r>
          </w:p>
        </w:tc>
        <w:tc>
          <w:tcPr>
            <w:tcW w:w="7062" w:type="dxa"/>
          </w:tcPr>
          <w:p w14:paraId="71F608E7" w14:textId="77777777" w:rsidR="00B805A4" w:rsidRPr="00392E0D" w:rsidRDefault="00B805A4" w:rsidP="00B805A4">
            <w:pPr>
              <w:widowControl/>
              <w:adjustRightInd w:val="0"/>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Children’s physical readiness for the school day, physical independence and gross and fine motor skills.</w:t>
            </w:r>
          </w:p>
        </w:tc>
      </w:tr>
      <w:tr w:rsidR="00B805A4" w:rsidRPr="00392E0D" w14:paraId="15DE5B77" w14:textId="77777777" w:rsidTr="002D6FDC">
        <w:trPr>
          <w:trHeight w:val="406"/>
        </w:trPr>
        <w:tc>
          <w:tcPr>
            <w:cnfStyle w:val="001000000000" w:firstRow="0" w:lastRow="0" w:firstColumn="1" w:lastColumn="0" w:oddVBand="0" w:evenVBand="0" w:oddHBand="0" w:evenHBand="0" w:firstRowFirstColumn="0" w:firstRowLastColumn="0" w:lastRowFirstColumn="0" w:lastRowLastColumn="0"/>
            <w:tcW w:w="3186" w:type="dxa"/>
          </w:tcPr>
          <w:p w14:paraId="2333C198" w14:textId="77777777" w:rsidR="00B805A4" w:rsidRPr="00392E0D" w:rsidRDefault="00B805A4" w:rsidP="00B805A4">
            <w:pPr>
              <w:widowControl/>
              <w:adjustRightInd w:val="0"/>
              <w:spacing w:before="120" w:after="120" w:line="264" w:lineRule="auto"/>
              <w:rPr>
                <w:rFonts w:ascii="Arial" w:eastAsiaTheme="minorHAnsi" w:hAnsi="Arial" w:cs="Arial"/>
                <w:b/>
                <w:bCs/>
                <w:color w:val="000000"/>
                <w:sz w:val="20"/>
                <w:szCs w:val="20"/>
                <w:lang w:val="en-AU"/>
              </w:rPr>
            </w:pPr>
            <w:r w:rsidRPr="00392E0D">
              <w:rPr>
                <w:rFonts w:ascii="Arial" w:eastAsiaTheme="minorHAnsi" w:hAnsi="Arial" w:cs="Arial"/>
                <w:b/>
                <w:bCs/>
                <w:color w:val="000000"/>
                <w:sz w:val="20"/>
                <w:szCs w:val="20"/>
                <w:lang w:val="en-AU"/>
              </w:rPr>
              <w:t>Social competence</w:t>
            </w:r>
          </w:p>
        </w:tc>
        <w:tc>
          <w:tcPr>
            <w:tcW w:w="7062" w:type="dxa"/>
          </w:tcPr>
          <w:p w14:paraId="1396A902" w14:textId="77777777" w:rsidR="00B805A4" w:rsidRPr="00392E0D" w:rsidRDefault="00B805A4" w:rsidP="00B805A4">
            <w:pPr>
              <w:widowControl/>
              <w:adjustRightInd w:val="0"/>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Children’s overall social competence, responsibility and respect, approach to learning and readiness to explore new things.</w:t>
            </w:r>
          </w:p>
        </w:tc>
      </w:tr>
      <w:tr w:rsidR="00B805A4" w:rsidRPr="00392E0D" w14:paraId="2FB11B42" w14:textId="77777777" w:rsidTr="002D6FDC">
        <w:trPr>
          <w:trHeight w:val="406"/>
        </w:trPr>
        <w:tc>
          <w:tcPr>
            <w:cnfStyle w:val="001000000000" w:firstRow="0" w:lastRow="0" w:firstColumn="1" w:lastColumn="0" w:oddVBand="0" w:evenVBand="0" w:oddHBand="0" w:evenHBand="0" w:firstRowFirstColumn="0" w:firstRowLastColumn="0" w:lastRowFirstColumn="0" w:lastRowLastColumn="0"/>
            <w:tcW w:w="3186" w:type="dxa"/>
          </w:tcPr>
          <w:p w14:paraId="0E679E61" w14:textId="77777777" w:rsidR="00B805A4" w:rsidRPr="00392E0D" w:rsidRDefault="00B805A4" w:rsidP="00B805A4">
            <w:pPr>
              <w:widowControl/>
              <w:adjustRightInd w:val="0"/>
              <w:spacing w:before="120" w:after="120" w:line="264" w:lineRule="auto"/>
              <w:rPr>
                <w:rFonts w:ascii="Arial" w:eastAsiaTheme="minorHAnsi" w:hAnsi="Arial" w:cs="Arial"/>
                <w:b/>
                <w:bCs/>
                <w:color w:val="000000"/>
                <w:sz w:val="20"/>
                <w:szCs w:val="20"/>
                <w:lang w:val="en-AU"/>
              </w:rPr>
            </w:pPr>
            <w:r w:rsidRPr="00392E0D">
              <w:rPr>
                <w:rFonts w:ascii="Arial" w:eastAsiaTheme="minorHAnsi" w:hAnsi="Arial" w:cs="Arial"/>
                <w:b/>
                <w:bCs/>
                <w:color w:val="000000"/>
                <w:sz w:val="20"/>
                <w:szCs w:val="20"/>
                <w:lang w:val="en-AU"/>
              </w:rPr>
              <w:t>Emotional</w:t>
            </w:r>
            <w:r w:rsidRPr="00392E0D">
              <w:rPr>
                <w:rFonts w:ascii="Arial" w:eastAsiaTheme="minorHAnsi" w:hAnsi="Arial" w:cs="Arial"/>
                <w:color w:val="000000"/>
                <w:sz w:val="20"/>
                <w:szCs w:val="20"/>
                <w:lang w:val="en-AU"/>
              </w:rPr>
              <w:t xml:space="preserve"> </w:t>
            </w:r>
            <w:r w:rsidRPr="00392E0D">
              <w:rPr>
                <w:rFonts w:ascii="Arial" w:eastAsiaTheme="minorHAnsi" w:hAnsi="Arial" w:cs="Arial"/>
                <w:b/>
                <w:bCs/>
                <w:color w:val="000000"/>
                <w:sz w:val="20"/>
                <w:szCs w:val="20"/>
                <w:lang w:val="en-AU"/>
              </w:rPr>
              <w:t>maturity</w:t>
            </w:r>
          </w:p>
        </w:tc>
        <w:tc>
          <w:tcPr>
            <w:tcW w:w="7062" w:type="dxa"/>
          </w:tcPr>
          <w:p w14:paraId="3833A0EB" w14:textId="77777777" w:rsidR="00B805A4" w:rsidRPr="00392E0D" w:rsidRDefault="00B805A4" w:rsidP="00B805A4">
            <w:pPr>
              <w:widowControl/>
              <w:adjustRightInd w:val="0"/>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Children’s pro-social and helping behaviours and absence of anxious and fearful behaviour, aggressive behaviour and hyperactivity and inattention.</w:t>
            </w:r>
          </w:p>
        </w:tc>
      </w:tr>
      <w:tr w:rsidR="00B805A4" w:rsidRPr="00392E0D" w14:paraId="043F9640" w14:textId="77777777" w:rsidTr="002D6FDC">
        <w:trPr>
          <w:trHeight w:val="425"/>
        </w:trPr>
        <w:tc>
          <w:tcPr>
            <w:cnfStyle w:val="001000000000" w:firstRow="0" w:lastRow="0" w:firstColumn="1" w:lastColumn="0" w:oddVBand="0" w:evenVBand="0" w:oddHBand="0" w:evenHBand="0" w:firstRowFirstColumn="0" w:firstRowLastColumn="0" w:lastRowFirstColumn="0" w:lastRowLastColumn="0"/>
            <w:tcW w:w="3186" w:type="dxa"/>
          </w:tcPr>
          <w:p w14:paraId="386F7C2F" w14:textId="77777777" w:rsidR="00B805A4" w:rsidRPr="00392E0D" w:rsidRDefault="00B805A4" w:rsidP="00B805A4">
            <w:pPr>
              <w:widowControl/>
              <w:adjustRightInd w:val="0"/>
              <w:spacing w:before="120" w:after="120" w:line="264" w:lineRule="auto"/>
              <w:rPr>
                <w:rFonts w:ascii="Arial" w:eastAsiaTheme="minorHAnsi" w:hAnsi="Arial" w:cs="Arial"/>
                <w:b/>
                <w:bCs/>
                <w:color w:val="000000"/>
                <w:sz w:val="20"/>
                <w:szCs w:val="20"/>
                <w:lang w:val="en-AU"/>
              </w:rPr>
            </w:pPr>
            <w:r w:rsidRPr="00392E0D">
              <w:rPr>
                <w:rFonts w:ascii="Arial" w:eastAsiaTheme="minorHAnsi" w:hAnsi="Arial" w:cs="Arial"/>
                <w:b/>
                <w:bCs/>
                <w:color w:val="000000"/>
                <w:sz w:val="20"/>
                <w:szCs w:val="20"/>
                <w:lang w:val="en-AU"/>
              </w:rPr>
              <w:t>Language and cognitive skills (school-based)</w:t>
            </w:r>
          </w:p>
        </w:tc>
        <w:tc>
          <w:tcPr>
            <w:tcW w:w="7062" w:type="dxa"/>
          </w:tcPr>
          <w:p w14:paraId="27FBDC4F" w14:textId="77777777" w:rsidR="00B805A4" w:rsidRPr="00392E0D" w:rsidRDefault="00B805A4" w:rsidP="00B805A4">
            <w:pPr>
              <w:widowControl/>
              <w:adjustRightInd w:val="0"/>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Children’s basic literacy, advanced literacy, basic numeracy, and interest in literacy, numeracy and memory.</w:t>
            </w:r>
          </w:p>
        </w:tc>
      </w:tr>
      <w:tr w:rsidR="00B805A4" w:rsidRPr="00392E0D" w14:paraId="066AC944" w14:textId="77777777" w:rsidTr="002D6FDC">
        <w:trPr>
          <w:trHeight w:val="425"/>
        </w:trPr>
        <w:tc>
          <w:tcPr>
            <w:cnfStyle w:val="001000000000" w:firstRow="0" w:lastRow="0" w:firstColumn="1" w:lastColumn="0" w:oddVBand="0" w:evenVBand="0" w:oddHBand="0" w:evenHBand="0" w:firstRowFirstColumn="0" w:firstRowLastColumn="0" w:lastRowFirstColumn="0" w:lastRowLastColumn="0"/>
            <w:tcW w:w="3186" w:type="dxa"/>
          </w:tcPr>
          <w:p w14:paraId="1673B6AC" w14:textId="77777777" w:rsidR="00B805A4" w:rsidRPr="00392E0D" w:rsidRDefault="00B805A4" w:rsidP="00B805A4">
            <w:pPr>
              <w:widowControl/>
              <w:adjustRightInd w:val="0"/>
              <w:spacing w:before="120" w:after="120" w:line="264" w:lineRule="auto"/>
              <w:rPr>
                <w:rFonts w:ascii="Arial" w:eastAsiaTheme="minorHAnsi" w:hAnsi="Arial" w:cs="Arial"/>
                <w:b/>
                <w:bCs/>
                <w:color w:val="000000"/>
                <w:sz w:val="20"/>
                <w:szCs w:val="20"/>
                <w:lang w:val="en-AU"/>
              </w:rPr>
            </w:pPr>
            <w:r w:rsidRPr="00392E0D">
              <w:rPr>
                <w:rFonts w:ascii="Arial" w:eastAsiaTheme="minorHAnsi" w:hAnsi="Arial" w:cs="Arial"/>
                <w:b/>
                <w:bCs/>
                <w:color w:val="000000"/>
                <w:sz w:val="20"/>
                <w:szCs w:val="20"/>
                <w:lang w:val="en-AU"/>
              </w:rPr>
              <w:t>Communication skills and general knowledge</w:t>
            </w:r>
          </w:p>
        </w:tc>
        <w:tc>
          <w:tcPr>
            <w:tcW w:w="7062" w:type="dxa"/>
          </w:tcPr>
          <w:p w14:paraId="70339868" w14:textId="77777777" w:rsidR="00B805A4" w:rsidRPr="00392E0D" w:rsidRDefault="00B805A4" w:rsidP="00B805A4">
            <w:pPr>
              <w:widowControl/>
              <w:adjustRightInd w:val="0"/>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Children’s communication skills and general knowledge based on broad developmental competencies and skills measured in the school context.</w:t>
            </w:r>
          </w:p>
        </w:tc>
      </w:tr>
    </w:tbl>
    <w:p w14:paraId="7E4086F0" w14:textId="7A823E32" w:rsidR="00DF5505" w:rsidRPr="00392E0D" w:rsidRDefault="00DF5505" w:rsidP="002D6FDC">
      <w:pPr>
        <w:pStyle w:val="Body"/>
        <w:rPr>
          <w:rFonts w:cs="Arial"/>
        </w:rPr>
      </w:pPr>
      <w:r w:rsidRPr="00392E0D">
        <w:rPr>
          <w:rFonts w:cs="Arial"/>
        </w:rPr>
        <w:t>The AEDC domains have been shown to predict children’s later outcomes in health, wellbeing and academic success.</w:t>
      </w:r>
    </w:p>
    <w:p w14:paraId="3C3AF68E" w14:textId="5A09C766" w:rsidR="00B805A4" w:rsidRDefault="003F5E72" w:rsidP="002D6FDC">
      <w:pPr>
        <w:pStyle w:val="Body"/>
        <w:rPr>
          <w:rFonts w:cs="Arial"/>
        </w:rPr>
      </w:pPr>
      <w:r w:rsidRPr="00392E0D">
        <w:rPr>
          <w:rFonts w:cs="Arial"/>
        </w:rPr>
        <w:t>Children are allocated a score against the five AEDC domains. Using benchmark scores calculated in 2009, children are determined to be either ‘developmentally on track’, ‘developmentally at risk’ or developmentally vulnerable’ on each domain.</w:t>
      </w:r>
    </w:p>
    <w:p w14:paraId="443372D7" w14:textId="31451FFF" w:rsidR="00392E0D" w:rsidRPr="00392E0D" w:rsidRDefault="00392E0D" w:rsidP="00392E0D">
      <w:pPr>
        <w:pStyle w:val="Caption"/>
        <w:rPr>
          <w:rFonts w:cs="Arial"/>
        </w:rPr>
      </w:pPr>
      <w:r w:rsidRPr="00C83446">
        <w:t xml:space="preserve">Table </w:t>
      </w:r>
      <w:r w:rsidRPr="00C83446">
        <w:fldChar w:fldCharType="begin"/>
      </w:r>
      <w:r w:rsidRPr="00C83446">
        <w:instrText xml:space="preserve"> SEQ Table \* ARABIC </w:instrText>
      </w:r>
      <w:r w:rsidRPr="00C83446">
        <w:fldChar w:fldCharType="separate"/>
      </w:r>
      <w:r w:rsidR="001424FD" w:rsidRPr="00C83446">
        <w:rPr>
          <w:noProof/>
        </w:rPr>
        <w:t>2</w:t>
      </w:r>
      <w:r w:rsidRPr="00C83446">
        <w:fldChar w:fldCharType="end"/>
      </w:r>
      <w:r w:rsidRPr="00C83446">
        <w:tab/>
        <w:t xml:space="preserve">AEDC </w:t>
      </w:r>
      <w:r w:rsidR="00C83446" w:rsidRPr="00C83446">
        <w:t>domain developmental categories</w:t>
      </w:r>
    </w:p>
    <w:tbl>
      <w:tblPr>
        <w:tblStyle w:val="TableGrid"/>
        <w:tblW w:w="10236" w:type="dxa"/>
        <w:tblLayout w:type="fixed"/>
        <w:tblLook w:val="04A0" w:firstRow="1" w:lastRow="0" w:firstColumn="1" w:lastColumn="0" w:noHBand="0" w:noVBand="1"/>
      </w:tblPr>
      <w:tblGrid>
        <w:gridCol w:w="3186"/>
        <w:gridCol w:w="7050"/>
      </w:tblGrid>
      <w:tr w:rsidR="003F5E72" w:rsidRPr="00392E0D" w14:paraId="68295871" w14:textId="77777777" w:rsidTr="002D6FDC">
        <w:trPr>
          <w:trHeight w:val="105"/>
        </w:trPr>
        <w:tc>
          <w:tcPr>
            <w:cnfStyle w:val="001000000000" w:firstRow="0" w:lastRow="0" w:firstColumn="1" w:lastColumn="0" w:oddVBand="0" w:evenVBand="0" w:oddHBand="0" w:evenHBand="0" w:firstRowFirstColumn="0" w:firstRowLastColumn="0" w:lastRowFirstColumn="0" w:lastRowLastColumn="0"/>
            <w:tcW w:w="3186" w:type="dxa"/>
          </w:tcPr>
          <w:p w14:paraId="692EE2BD" w14:textId="77777777" w:rsidR="003F5E72" w:rsidRPr="00392E0D" w:rsidRDefault="003F5E72" w:rsidP="002D6FDC">
            <w:pPr>
              <w:pStyle w:val="Body"/>
              <w:rPr>
                <w:rFonts w:eastAsiaTheme="minorHAnsi" w:cs="Arial"/>
                <w:b/>
                <w:bCs/>
                <w:sz w:val="20"/>
                <w:szCs w:val="18"/>
                <w:lang w:val="en-AU"/>
              </w:rPr>
            </w:pPr>
            <w:r w:rsidRPr="00392E0D">
              <w:rPr>
                <w:rFonts w:eastAsiaTheme="minorHAnsi" w:cs="Arial"/>
                <w:b/>
                <w:bCs/>
                <w:sz w:val="20"/>
                <w:szCs w:val="18"/>
                <w:lang w:val="en-AU"/>
              </w:rPr>
              <w:t>Developmentally on track</w:t>
            </w:r>
          </w:p>
        </w:tc>
        <w:tc>
          <w:tcPr>
            <w:tcW w:w="7050" w:type="dxa"/>
          </w:tcPr>
          <w:p w14:paraId="46BD5316" w14:textId="77777777" w:rsidR="003F5E72" w:rsidRPr="00392E0D" w:rsidRDefault="003F5E72" w:rsidP="00533BE3">
            <w:pPr>
              <w:pStyle w:val="Body"/>
              <w:jc w:val="left"/>
              <w:cnfStyle w:val="000000000000" w:firstRow="0" w:lastRow="0" w:firstColumn="0" w:lastColumn="0" w:oddVBand="0" w:evenVBand="0" w:oddHBand="0" w:evenHBand="0" w:firstRowFirstColumn="0" w:firstRowLastColumn="0" w:lastRowFirstColumn="0" w:lastRowLastColumn="0"/>
              <w:rPr>
                <w:rFonts w:eastAsiaTheme="minorHAnsi" w:cs="Arial"/>
                <w:sz w:val="20"/>
                <w:szCs w:val="18"/>
                <w:lang w:val="en-AU"/>
              </w:rPr>
            </w:pPr>
            <w:r w:rsidRPr="00392E0D">
              <w:rPr>
                <w:rFonts w:eastAsiaTheme="minorHAnsi" w:cs="Arial"/>
                <w:sz w:val="20"/>
                <w:szCs w:val="18"/>
                <w:lang w:val="en-AU"/>
              </w:rPr>
              <w:t xml:space="preserve">Children </w:t>
            </w:r>
            <w:proofErr w:type="gramStart"/>
            <w:r w:rsidRPr="00392E0D">
              <w:rPr>
                <w:rFonts w:eastAsiaTheme="minorHAnsi" w:cs="Arial"/>
                <w:sz w:val="20"/>
                <w:szCs w:val="18"/>
                <w:lang w:val="en-AU"/>
              </w:rPr>
              <w:t>are considered to be</w:t>
            </w:r>
            <w:proofErr w:type="gramEnd"/>
            <w:r w:rsidRPr="00392E0D">
              <w:rPr>
                <w:rFonts w:eastAsiaTheme="minorHAnsi" w:cs="Arial"/>
                <w:sz w:val="20"/>
                <w:szCs w:val="18"/>
                <w:lang w:val="en-AU"/>
              </w:rPr>
              <w:t xml:space="preserve"> developing well. As such, it is desirable to see the percentage of children who are ‘on track’ increase with each new AEDC collection cycle.</w:t>
            </w:r>
          </w:p>
        </w:tc>
      </w:tr>
      <w:tr w:rsidR="003F5E72" w:rsidRPr="00392E0D" w14:paraId="71C5B330" w14:textId="77777777" w:rsidTr="002D6FDC">
        <w:trPr>
          <w:trHeight w:val="1270"/>
        </w:trPr>
        <w:tc>
          <w:tcPr>
            <w:cnfStyle w:val="001000000000" w:firstRow="0" w:lastRow="0" w:firstColumn="1" w:lastColumn="0" w:oddVBand="0" w:evenVBand="0" w:oddHBand="0" w:evenHBand="0" w:firstRowFirstColumn="0" w:firstRowLastColumn="0" w:lastRowFirstColumn="0" w:lastRowLastColumn="0"/>
            <w:tcW w:w="3186" w:type="dxa"/>
          </w:tcPr>
          <w:p w14:paraId="1532E502" w14:textId="77777777" w:rsidR="003F5E72" w:rsidRPr="00392E0D" w:rsidRDefault="003F5E72" w:rsidP="002D6FDC">
            <w:pPr>
              <w:pStyle w:val="Body"/>
              <w:rPr>
                <w:rFonts w:eastAsiaTheme="minorHAnsi" w:cs="Arial"/>
                <w:b/>
                <w:bCs/>
                <w:sz w:val="20"/>
                <w:szCs w:val="18"/>
                <w:lang w:val="en-AU"/>
              </w:rPr>
            </w:pPr>
            <w:r w:rsidRPr="00392E0D">
              <w:rPr>
                <w:rFonts w:eastAsiaTheme="minorHAnsi" w:cs="Arial"/>
                <w:b/>
                <w:bCs/>
                <w:sz w:val="20"/>
                <w:szCs w:val="18"/>
                <w:lang w:val="en-AU"/>
              </w:rPr>
              <w:t>Developmentally at risk</w:t>
            </w:r>
          </w:p>
        </w:tc>
        <w:tc>
          <w:tcPr>
            <w:tcW w:w="7050" w:type="dxa"/>
          </w:tcPr>
          <w:p w14:paraId="5C883E2A" w14:textId="77777777" w:rsidR="003F5E72" w:rsidRPr="00392E0D" w:rsidRDefault="003F5E72" w:rsidP="00533BE3">
            <w:pPr>
              <w:pStyle w:val="Body"/>
              <w:jc w:val="left"/>
              <w:cnfStyle w:val="000000000000" w:firstRow="0" w:lastRow="0" w:firstColumn="0" w:lastColumn="0" w:oddVBand="0" w:evenVBand="0" w:oddHBand="0" w:evenHBand="0" w:firstRowFirstColumn="0" w:firstRowLastColumn="0" w:lastRowFirstColumn="0" w:lastRowLastColumn="0"/>
              <w:rPr>
                <w:rFonts w:eastAsiaTheme="minorHAnsi" w:cs="Arial"/>
                <w:sz w:val="20"/>
                <w:szCs w:val="18"/>
                <w:lang w:val="en-AU"/>
              </w:rPr>
            </w:pPr>
            <w:r w:rsidRPr="00392E0D">
              <w:rPr>
                <w:rFonts w:eastAsiaTheme="minorHAnsi" w:cs="Arial"/>
                <w:sz w:val="20"/>
                <w:szCs w:val="18"/>
                <w:lang w:val="en-AU"/>
              </w:rPr>
              <w:t>Children are facing challenges in some aspects of their development. Changes in the percentage of children ‘at risk’ need to be considered alongside changes in the percentage of children on track and vulnerable. For example, a reduction in those who are developmentally vulnerable could coincide with an increase in those at risk which would signal an overall improvement. Alternatively, a reduction in those who are on track could coincide with an increase in those who are at risk which would signal an overall decline in development.</w:t>
            </w:r>
          </w:p>
        </w:tc>
      </w:tr>
      <w:tr w:rsidR="003F5E72" w:rsidRPr="00392E0D" w14:paraId="1287B0BB" w14:textId="77777777" w:rsidTr="002D6FDC">
        <w:trPr>
          <w:trHeight w:val="268"/>
        </w:trPr>
        <w:tc>
          <w:tcPr>
            <w:cnfStyle w:val="001000000000" w:firstRow="0" w:lastRow="0" w:firstColumn="1" w:lastColumn="0" w:oddVBand="0" w:evenVBand="0" w:oddHBand="0" w:evenHBand="0" w:firstRowFirstColumn="0" w:firstRowLastColumn="0" w:lastRowFirstColumn="0" w:lastRowLastColumn="0"/>
            <w:tcW w:w="3186" w:type="dxa"/>
          </w:tcPr>
          <w:p w14:paraId="487821C9" w14:textId="77777777" w:rsidR="003F5E72" w:rsidRPr="00392E0D" w:rsidRDefault="003F5E72" w:rsidP="002D6FDC">
            <w:pPr>
              <w:pStyle w:val="Body"/>
              <w:rPr>
                <w:rFonts w:eastAsiaTheme="minorHAnsi" w:cs="Arial"/>
                <w:b/>
                <w:bCs/>
                <w:sz w:val="20"/>
                <w:szCs w:val="18"/>
                <w:lang w:val="en-AU"/>
              </w:rPr>
            </w:pPr>
            <w:r w:rsidRPr="00392E0D">
              <w:rPr>
                <w:rFonts w:eastAsiaTheme="minorHAnsi" w:cs="Arial"/>
                <w:b/>
                <w:bCs/>
                <w:sz w:val="20"/>
                <w:szCs w:val="18"/>
                <w:lang w:val="en-AU"/>
              </w:rPr>
              <w:t>Developmentally vulnerable</w:t>
            </w:r>
          </w:p>
        </w:tc>
        <w:tc>
          <w:tcPr>
            <w:tcW w:w="7050" w:type="dxa"/>
          </w:tcPr>
          <w:p w14:paraId="43B504D8" w14:textId="77777777" w:rsidR="003F5E72" w:rsidRPr="00392E0D" w:rsidRDefault="003F5E72" w:rsidP="00533BE3">
            <w:pPr>
              <w:pStyle w:val="Body"/>
              <w:jc w:val="left"/>
              <w:cnfStyle w:val="000000000000" w:firstRow="0" w:lastRow="0" w:firstColumn="0" w:lastColumn="0" w:oddVBand="0" w:evenVBand="0" w:oddHBand="0" w:evenHBand="0" w:firstRowFirstColumn="0" w:firstRowLastColumn="0" w:lastRowFirstColumn="0" w:lastRowLastColumn="0"/>
              <w:rPr>
                <w:rFonts w:eastAsiaTheme="minorHAnsi" w:cs="Arial"/>
                <w:sz w:val="20"/>
                <w:szCs w:val="18"/>
                <w:lang w:val="en-AU"/>
              </w:rPr>
            </w:pPr>
            <w:r w:rsidRPr="00392E0D">
              <w:rPr>
                <w:rFonts w:eastAsiaTheme="minorHAnsi" w:cs="Arial"/>
                <w:sz w:val="20"/>
                <w:szCs w:val="18"/>
                <w:lang w:val="en-AU"/>
              </w:rPr>
              <w:t>Children are facing some significant challenges in their development. As such, it is desirable to see the percentage of children who are ‘vulnerable’ decrease with each new AEDC collection cycle</w:t>
            </w:r>
          </w:p>
        </w:tc>
      </w:tr>
    </w:tbl>
    <w:p w14:paraId="0C756A31" w14:textId="5D3CEF4B" w:rsidR="00DF5505" w:rsidRPr="00392E0D" w:rsidRDefault="00DF5505" w:rsidP="002D6FDC">
      <w:pPr>
        <w:pStyle w:val="Body"/>
        <w:rPr>
          <w:rFonts w:cs="Arial"/>
        </w:rPr>
      </w:pPr>
    </w:p>
    <w:p w14:paraId="19514E58" w14:textId="77777777" w:rsidR="002D6FDC" w:rsidRPr="00392E0D" w:rsidRDefault="00DF5505" w:rsidP="002D6FDC">
      <w:pPr>
        <w:pStyle w:val="Heading2"/>
        <w:rPr>
          <w:rFonts w:cs="Arial"/>
        </w:rPr>
      </w:pPr>
      <w:r w:rsidRPr="00392E0D">
        <w:rPr>
          <w:rFonts w:cs="Arial"/>
        </w:rPr>
        <w:br w:type="page"/>
      </w:r>
      <w:r w:rsidR="002D6FDC" w:rsidRPr="00392E0D">
        <w:rPr>
          <w:rFonts w:cs="Arial"/>
        </w:rPr>
        <w:lastRenderedPageBreak/>
        <w:t>AEDC summary indicators</w:t>
      </w:r>
    </w:p>
    <w:p w14:paraId="5F373D6A" w14:textId="77777777" w:rsidR="002D6FDC" w:rsidRPr="00392E0D" w:rsidRDefault="002D6FDC" w:rsidP="002D6FDC">
      <w:pPr>
        <w:pStyle w:val="Body"/>
        <w:rPr>
          <w:rFonts w:cs="Arial"/>
        </w:rPr>
      </w:pPr>
      <w:r w:rsidRPr="00392E0D">
        <w:rPr>
          <w:rFonts w:cs="Arial"/>
        </w:rPr>
        <w:t>The AEDC has three summary indicators that collectively can be used to monitor trends in child development.</w:t>
      </w:r>
    </w:p>
    <w:p w14:paraId="653BF53B" w14:textId="77777777" w:rsidR="002D6FDC" w:rsidRPr="00392E0D" w:rsidRDefault="002D6FDC" w:rsidP="002D6FDC">
      <w:pPr>
        <w:pStyle w:val="Body"/>
        <w:rPr>
          <w:rFonts w:cs="Arial"/>
        </w:rPr>
      </w:pPr>
      <w:r w:rsidRPr="00392E0D">
        <w:rPr>
          <w:rFonts w:cs="Arial"/>
        </w:rPr>
        <w:t>Two of these summary indicators measure developmental vulnerability across the domains and help identify groups of children who are most vulnerable:</w:t>
      </w:r>
    </w:p>
    <w:p w14:paraId="483BBD96" w14:textId="77777777" w:rsidR="002D6FDC" w:rsidRPr="00392E0D" w:rsidRDefault="002D6FDC" w:rsidP="002D6FDC">
      <w:pPr>
        <w:pStyle w:val="Bullets1"/>
        <w:rPr>
          <w:rFonts w:cs="Arial"/>
        </w:rPr>
      </w:pPr>
      <w:r w:rsidRPr="00392E0D">
        <w:rPr>
          <w:rFonts w:cs="Arial"/>
        </w:rPr>
        <w:t>Developmentally vulnerable on one or more domain(s) (DV1):</w:t>
      </w:r>
    </w:p>
    <w:p w14:paraId="36E50593" w14:textId="41366C95" w:rsidR="002D6FDC" w:rsidRPr="00392E0D" w:rsidRDefault="002D6FDC" w:rsidP="00F95348">
      <w:pPr>
        <w:pStyle w:val="BodyIndent"/>
        <w:rPr>
          <w:rFonts w:cs="Arial"/>
        </w:rPr>
      </w:pPr>
      <w:r w:rsidRPr="00392E0D">
        <w:rPr>
          <w:rFonts w:cs="Arial"/>
        </w:rPr>
        <w:t>The percentage of children who are developmentally vulnerable on ONE or more AEDC domain(s)</w:t>
      </w:r>
      <w:r w:rsidR="00F95348" w:rsidRPr="00392E0D">
        <w:rPr>
          <w:rFonts w:cs="Arial"/>
        </w:rPr>
        <w:t>.</w:t>
      </w:r>
    </w:p>
    <w:p w14:paraId="0B13A954" w14:textId="77777777" w:rsidR="002D6FDC" w:rsidRPr="00392E0D" w:rsidRDefault="002D6FDC" w:rsidP="00F95348">
      <w:pPr>
        <w:pStyle w:val="Bullets1"/>
        <w:rPr>
          <w:rFonts w:cs="Arial"/>
        </w:rPr>
      </w:pPr>
      <w:r w:rsidRPr="00392E0D">
        <w:rPr>
          <w:rFonts w:cs="Arial"/>
        </w:rPr>
        <w:t>Developmentally vulnerable on two or more domains (DV2):</w:t>
      </w:r>
    </w:p>
    <w:p w14:paraId="0C53B597" w14:textId="77777777" w:rsidR="002D6FDC" w:rsidRPr="00392E0D" w:rsidRDefault="002D6FDC" w:rsidP="00F95348">
      <w:pPr>
        <w:pStyle w:val="BodyIndent"/>
        <w:rPr>
          <w:rFonts w:cs="Arial"/>
        </w:rPr>
      </w:pPr>
      <w:r w:rsidRPr="00392E0D">
        <w:rPr>
          <w:rFonts w:cs="Arial"/>
        </w:rPr>
        <w:t>The percentage of children who are developmentally vulnerable on TWO or more AEDC domains.</w:t>
      </w:r>
    </w:p>
    <w:p w14:paraId="3970DEAF" w14:textId="77777777" w:rsidR="002D6FDC" w:rsidRPr="00392E0D" w:rsidRDefault="002D6FDC" w:rsidP="00F95348">
      <w:pPr>
        <w:pStyle w:val="Body"/>
        <w:rPr>
          <w:rFonts w:cs="Arial"/>
        </w:rPr>
      </w:pPr>
      <w:r w:rsidRPr="00392E0D">
        <w:rPr>
          <w:rFonts w:cs="Arial"/>
        </w:rPr>
        <w:t>The third summary indicator, on track on 5 domains, is a strength-based indicator that helps identify where things are working well and what is working to support children’s holistic development. It was introduced as a national AEDC measure in 2021 and is the basis for the Closing the Gap Target 4 ‘children thrive in their early years’.</w:t>
      </w:r>
    </w:p>
    <w:p w14:paraId="3A1BA868" w14:textId="77777777" w:rsidR="002D6FDC" w:rsidRPr="00392E0D" w:rsidRDefault="002D6FDC" w:rsidP="00D12C44">
      <w:pPr>
        <w:pStyle w:val="Bullets1"/>
        <w:rPr>
          <w:rFonts w:cs="Arial"/>
        </w:rPr>
      </w:pPr>
      <w:r w:rsidRPr="00392E0D">
        <w:rPr>
          <w:rFonts w:cs="Arial"/>
        </w:rPr>
        <w:t>Developmentally on track on five domains (OT5):</w:t>
      </w:r>
    </w:p>
    <w:p w14:paraId="52187D8A" w14:textId="77777777" w:rsidR="002D6FDC" w:rsidRPr="00392E0D" w:rsidRDefault="002D6FDC" w:rsidP="00D12C44">
      <w:pPr>
        <w:pStyle w:val="BodyIndent"/>
        <w:rPr>
          <w:rFonts w:cs="Arial"/>
        </w:rPr>
      </w:pPr>
      <w:r w:rsidRPr="00392E0D">
        <w:rPr>
          <w:rFonts w:cs="Arial"/>
        </w:rPr>
        <w:t xml:space="preserve">The percentage of children who are developmentally on track on </w:t>
      </w:r>
      <w:r w:rsidRPr="00392E0D">
        <w:rPr>
          <w:rFonts w:cs="Arial"/>
          <w:u w:val="single"/>
        </w:rPr>
        <w:t>all</w:t>
      </w:r>
      <w:r w:rsidRPr="00392E0D">
        <w:rPr>
          <w:rFonts w:cs="Arial"/>
        </w:rPr>
        <w:t xml:space="preserve"> FIVE AEDC domains.</w:t>
      </w:r>
    </w:p>
    <w:p w14:paraId="357166A8" w14:textId="69F267A7" w:rsidR="002D6FDC" w:rsidRPr="00392E0D" w:rsidRDefault="002D6FDC" w:rsidP="00924D86">
      <w:pPr>
        <w:pStyle w:val="Body"/>
        <w:rPr>
          <w:rFonts w:cs="Arial"/>
          <w:color w:val="000000" w:themeColor="text1"/>
        </w:rPr>
      </w:pPr>
      <w:r w:rsidRPr="00392E0D">
        <w:rPr>
          <w:rFonts w:cs="Arial"/>
        </w:rPr>
        <w:t>For further information about the domains and domain characteristics (developmentally on track, at risk and vulnerable) please refer to the fact sheet About the AEDC domains (</w:t>
      </w:r>
      <w:hyperlink r:id="rId13" w:history="1">
        <w:r w:rsidRPr="00392E0D">
          <w:rPr>
            <w:rStyle w:val="Hyperlink"/>
            <w:rFonts w:cs="Arial"/>
            <w:color w:val="000000" w:themeColor="text1"/>
          </w:rPr>
          <w:t>aedc.gov.au/</w:t>
        </w:r>
        <w:proofErr w:type="spellStart"/>
        <w:r w:rsidRPr="00392E0D">
          <w:rPr>
            <w:rStyle w:val="Hyperlink"/>
            <w:rFonts w:cs="Arial"/>
            <w:color w:val="000000" w:themeColor="text1"/>
          </w:rPr>
          <w:t>abtdom</w:t>
        </w:r>
        <w:proofErr w:type="spellEnd"/>
      </w:hyperlink>
      <w:r w:rsidRPr="00392E0D">
        <w:rPr>
          <w:rFonts w:cs="Arial"/>
        </w:rPr>
        <w:t xml:space="preserve">). A comprehensive explanation of the percentiles and cut-offs is given in the fact sheet Understanding the results </w:t>
      </w:r>
      <w:r w:rsidRPr="00392E0D">
        <w:rPr>
          <w:rFonts w:cs="Arial"/>
          <w:color w:val="000000" w:themeColor="text1"/>
        </w:rPr>
        <w:t>(</w:t>
      </w:r>
      <w:hyperlink r:id="rId14" w:history="1">
        <w:r w:rsidRPr="00392E0D">
          <w:rPr>
            <w:rStyle w:val="Hyperlink"/>
            <w:rFonts w:cs="Arial"/>
            <w:color w:val="000000" w:themeColor="text1"/>
          </w:rPr>
          <w:t>aedc.gov.au/</w:t>
        </w:r>
        <w:proofErr w:type="spellStart"/>
        <w:r w:rsidRPr="00392E0D">
          <w:rPr>
            <w:rStyle w:val="Hyperlink"/>
            <w:rFonts w:cs="Arial"/>
            <w:color w:val="000000" w:themeColor="text1"/>
          </w:rPr>
          <w:t>unders</w:t>
        </w:r>
        <w:proofErr w:type="spellEnd"/>
      </w:hyperlink>
      <w:r w:rsidRPr="00392E0D">
        <w:rPr>
          <w:rFonts w:cs="Arial"/>
          <w:color w:val="000000" w:themeColor="text1"/>
        </w:rPr>
        <w:t>) and the information video Understanding the data (</w:t>
      </w:r>
      <w:hyperlink r:id="rId15" w:history="1">
        <w:r w:rsidRPr="00392E0D">
          <w:rPr>
            <w:rStyle w:val="Hyperlink"/>
            <w:rFonts w:cs="Arial"/>
            <w:color w:val="000000" w:themeColor="text1"/>
          </w:rPr>
          <w:t>aedc.gov.au/vi3</w:t>
        </w:r>
      </w:hyperlink>
      <w:r w:rsidRPr="00392E0D">
        <w:rPr>
          <w:rFonts w:cs="Arial"/>
          <w:color w:val="000000" w:themeColor="text1"/>
        </w:rPr>
        <w:t>).</w:t>
      </w:r>
    </w:p>
    <w:p w14:paraId="13326B61" w14:textId="77777777" w:rsidR="002D6FDC" w:rsidRPr="00392E0D" w:rsidRDefault="002D6FDC" w:rsidP="002C1CD8">
      <w:pPr>
        <w:pStyle w:val="Heading2"/>
        <w:rPr>
          <w:rFonts w:cs="Arial"/>
        </w:rPr>
      </w:pPr>
      <w:r w:rsidRPr="00392E0D">
        <w:rPr>
          <w:rFonts w:cs="Arial"/>
        </w:rPr>
        <w:t>Critical difference</w:t>
      </w:r>
    </w:p>
    <w:p w14:paraId="104E1174" w14:textId="77777777" w:rsidR="002D6FDC" w:rsidRPr="00392E0D" w:rsidRDefault="002D6FDC" w:rsidP="002D6FDC">
      <w:pPr>
        <w:widowControl/>
        <w:autoSpaceDE/>
        <w:autoSpaceDN/>
        <w:rPr>
          <w:rFonts w:ascii="Arial" w:hAnsi="Arial" w:cs="Arial"/>
          <w:sz w:val="21"/>
          <w:szCs w:val="21"/>
        </w:rPr>
      </w:pPr>
      <w:r w:rsidRPr="00392E0D">
        <w:rPr>
          <w:rFonts w:ascii="Arial" w:hAnsi="Arial" w:cs="Arial"/>
          <w:sz w:val="21"/>
          <w:szCs w:val="21"/>
        </w:rPr>
        <w:t>Changes in AEDC data look larger in some areas than in others, especially where there are small numbers of children. To support people to consider the size of the change in their area, a method has been developed called the ‘critical difference’. The critical difference can also be used to explore changes over time in the summary indicators – DV1, DV2, and OT5.</w:t>
      </w:r>
    </w:p>
    <w:p w14:paraId="1E003EDF" w14:textId="137F5A32" w:rsidR="002D6FDC" w:rsidRPr="00392E0D" w:rsidRDefault="002D6FDC" w:rsidP="00F95348">
      <w:pPr>
        <w:pStyle w:val="Body"/>
        <w:rPr>
          <w:rFonts w:cs="Arial"/>
          <w:color w:val="000000" w:themeColor="text1"/>
          <w:szCs w:val="21"/>
        </w:rPr>
      </w:pPr>
      <w:r w:rsidRPr="00392E0D">
        <w:rPr>
          <w:rFonts w:cs="Arial"/>
          <w:color w:val="000000" w:themeColor="text1"/>
          <w:szCs w:val="21"/>
        </w:rPr>
        <w:t>The ‘critical difference tool’ is available for use on the AEDC website (</w:t>
      </w:r>
      <w:hyperlink r:id="rId16" w:history="1">
        <w:r w:rsidR="00924D86" w:rsidRPr="00392E0D">
          <w:rPr>
            <w:rStyle w:val="Hyperlink"/>
            <w:rFonts w:cs="Arial"/>
            <w:color w:val="000000" w:themeColor="text1"/>
            <w:szCs w:val="21"/>
          </w:rPr>
          <w:t>aedc.gov.au/crit-diff-com</w:t>
        </w:r>
      </w:hyperlink>
      <w:r w:rsidRPr="00392E0D">
        <w:rPr>
          <w:rFonts w:cs="Arial"/>
          <w:color w:val="000000" w:themeColor="text1"/>
          <w:szCs w:val="21"/>
        </w:rPr>
        <w:t>).</w:t>
      </w:r>
    </w:p>
    <w:p w14:paraId="0A78BF8A" w14:textId="77777777" w:rsidR="002D6FDC" w:rsidRPr="00392E0D" w:rsidRDefault="002D6FDC" w:rsidP="002C1CD8">
      <w:pPr>
        <w:pStyle w:val="Body"/>
        <w:rPr>
          <w:rFonts w:cs="Arial"/>
          <w:szCs w:val="21"/>
        </w:rPr>
      </w:pPr>
      <w:r w:rsidRPr="00392E0D">
        <w:rPr>
          <w:rFonts w:cs="Arial"/>
          <w:szCs w:val="21"/>
        </w:rPr>
        <w:t>The critical difference is the minimum percentage point change required between two collection cycles for the results to represent a ‘significant change’ in children’s development. The critical difference varies slightly for the different AEDC indicators but is mainly determined by the number of children in the group being compared (e.g., state/territory, community, school).</w:t>
      </w:r>
    </w:p>
    <w:p w14:paraId="5558D265" w14:textId="615EF50A" w:rsidR="002D6FDC" w:rsidRPr="00392E0D" w:rsidRDefault="002D6FDC" w:rsidP="00F95348">
      <w:pPr>
        <w:pStyle w:val="Bullets1"/>
        <w:rPr>
          <w:rFonts w:cs="Arial"/>
          <w:szCs w:val="21"/>
        </w:rPr>
      </w:pPr>
      <w:r w:rsidRPr="00392E0D">
        <w:rPr>
          <w:rFonts w:cs="Arial"/>
          <w:szCs w:val="21"/>
        </w:rPr>
        <w:t xml:space="preserve">At a </w:t>
      </w:r>
      <w:r w:rsidRPr="00392E0D">
        <w:rPr>
          <w:rFonts w:cs="Arial"/>
          <w:b/>
          <w:bCs/>
          <w:szCs w:val="21"/>
        </w:rPr>
        <w:t>national level</w:t>
      </w:r>
      <w:r w:rsidRPr="00392E0D">
        <w:rPr>
          <w:rFonts w:cs="Arial"/>
          <w:szCs w:val="21"/>
        </w:rPr>
        <w:t>, where 260,000 children or more are captured in each AEDC cycle, the critical difference is 0.1 percentage points, so any change larger than this represents a significant change in child development.</w:t>
      </w:r>
    </w:p>
    <w:p w14:paraId="4B8C4E8C" w14:textId="6E9DD037" w:rsidR="002D6FDC" w:rsidRPr="00392E0D" w:rsidRDefault="002D6FDC" w:rsidP="00F95348">
      <w:pPr>
        <w:pStyle w:val="Bullets1"/>
        <w:rPr>
          <w:rFonts w:cs="Arial"/>
          <w:szCs w:val="21"/>
        </w:rPr>
      </w:pPr>
      <w:r w:rsidRPr="00392E0D">
        <w:rPr>
          <w:rFonts w:cs="Arial"/>
          <w:szCs w:val="21"/>
        </w:rPr>
        <w:t xml:space="preserve">For </w:t>
      </w:r>
      <w:r w:rsidRPr="00392E0D">
        <w:rPr>
          <w:rFonts w:cs="Arial"/>
          <w:b/>
          <w:bCs/>
          <w:szCs w:val="21"/>
        </w:rPr>
        <w:t>large jurisdictions</w:t>
      </w:r>
      <w:r w:rsidRPr="00392E0D">
        <w:rPr>
          <w:rFonts w:cs="Arial"/>
          <w:szCs w:val="21"/>
        </w:rPr>
        <w:t>, such as NSW, VIC and QLD, where 50,000 to 100,000 children are captured in each AEDC cycle, the critical difference is 0.2 to 0.3 percentage points.</w:t>
      </w:r>
    </w:p>
    <w:p w14:paraId="60AE333D" w14:textId="234CEBDC" w:rsidR="002D6FDC" w:rsidRPr="00392E0D" w:rsidRDefault="002D6FDC" w:rsidP="00F95348">
      <w:pPr>
        <w:pStyle w:val="Bullets1"/>
        <w:rPr>
          <w:rFonts w:cs="Arial"/>
          <w:szCs w:val="21"/>
        </w:rPr>
      </w:pPr>
      <w:r w:rsidRPr="00392E0D">
        <w:rPr>
          <w:rFonts w:cs="Arial"/>
          <w:szCs w:val="21"/>
        </w:rPr>
        <w:t xml:space="preserve">For a </w:t>
      </w:r>
      <w:r w:rsidRPr="00392E0D">
        <w:rPr>
          <w:rFonts w:cs="Arial"/>
          <w:b/>
          <w:bCs/>
          <w:szCs w:val="21"/>
        </w:rPr>
        <w:t>smaller jurisdiction</w:t>
      </w:r>
      <w:r w:rsidRPr="00392E0D">
        <w:rPr>
          <w:rFonts w:cs="Arial"/>
          <w:szCs w:val="21"/>
        </w:rPr>
        <w:t>, such as TAS, ACT and NT, where 3,000 to 7,000 children are captured in each AEDC cycle, the critical difference is 0.5 to 1.3 percentage points.</w:t>
      </w:r>
    </w:p>
    <w:p w14:paraId="05B4E73E" w14:textId="622102D6" w:rsidR="002C1CD8" w:rsidRPr="00392E0D" w:rsidRDefault="002D6FDC" w:rsidP="00F95348">
      <w:pPr>
        <w:pStyle w:val="Bullets1"/>
        <w:rPr>
          <w:rFonts w:cs="Arial"/>
          <w:szCs w:val="21"/>
        </w:rPr>
      </w:pPr>
      <w:r w:rsidRPr="00392E0D">
        <w:rPr>
          <w:rFonts w:cs="Arial"/>
          <w:szCs w:val="21"/>
        </w:rPr>
        <w:t xml:space="preserve">For a </w:t>
      </w:r>
      <w:r w:rsidRPr="00392E0D">
        <w:rPr>
          <w:rFonts w:cs="Arial"/>
          <w:b/>
          <w:bCs/>
          <w:szCs w:val="21"/>
        </w:rPr>
        <w:t>small community</w:t>
      </w:r>
      <w:r w:rsidRPr="00392E0D">
        <w:rPr>
          <w:rFonts w:cs="Arial"/>
          <w:szCs w:val="21"/>
        </w:rPr>
        <w:t xml:space="preserve"> with 100 children, the AEDC results would need to shift by 4 to 7 percentage points to represent a significant shift in child development, depending on which AEDC indicator is of interest.</w:t>
      </w:r>
    </w:p>
    <w:p w14:paraId="2776BA6A" w14:textId="77777777" w:rsidR="002C1CD8" w:rsidRPr="00392E0D" w:rsidRDefault="002C1CD8">
      <w:pPr>
        <w:widowControl/>
        <w:autoSpaceDE/>
        <w:autoSpaceDN/>
        <w:rPr>
          <w:rFonts w:ascii="Arial" w:eastAsia="Times New Roman" w:hAnsi="Arial" w:cs="Arial"/>
          <w:sz w:val="21"/>
          <w:szCs w:val="20"/>
        </w:rPr>
      </w:pPr>
      <w:r w:rsidRPr="00392E0D">
        <w:rPr>
          <w:rFonts w:ascii="Arial" w:hAnsi="Arial" w:cs="Arial"/>
        </w:rPr>
        <w:br w:type="page"/>
      </w:r>
    </w:p>
    <w:p w14:paraId="4B359850" w14:textId="2E3BD6F7" w:rsidR="00DF5505" w:rsidRPr="00392E0D" w:rsidRDefault="002C1CD8" w:rsidP="001E1A5B">
      <w:pPr>
        <w:pStyle w:val="Heading1"/>
        <w:rPr>
          <w:rFonts w:cs="Arial"/>
        </w:rPr>
      </w:pPr>
      <w:bookmarkStart w:id="2" w:name="_Toc99530567"/>
      <w:r w:rsidRPr="00392E0D">
        <w:rPr>
          <w:rFonts w:cs="Arial"/>
        </w:rPr>
        <w:lastRenderedPageBreak/>
        <w:t>AEDC summary indicators</w:t>
      </w:r>
      <w:bookmarkEnd w:id="2"/>
    </w:p>
    <w:p w14:paraId="73CDD96F" w14:textId="77777777" w:rsidR="002C1CD8" w:rsidRPr="00392E0D" w:rsidRDefault="002C1CD8" w:rsidP="002C1CD8">
      <w:pPr>
        <w:pStyle w:val="Heading2"/>
        <w:rPr>
          <w:rFonts w:cs="Arial"/>
        </w:rPr>
      </w:pPr>
      <w:r w:rsidRPr="00392E0D">
        <w:rPr>
          <w:rFonts w:cs="Arial"/>
        </w:rPr>
        <w:t>National trends (all children)</w:t>
      </w:r>
    </w:p>
    <w:p w14:paraId="3B1B634C" w14:textId="77777777" w:rsidR="002C1CD8" w:rsidRPr="00392E0D" w:rsidRDefault="002C1CD8" w:rsidP="002C1CD8">
      <w:pPr>
        <w:pStyle w:val="Body"/>
        <w:rPr>
          <w:rFonts w:cs="Arial"/>
        </w:rPr>
      </w:pPr>
      <w:r w:rsidRPr="00392E0D">
        <w:rPr>
          <w:rFonts w:cs="Arial"/>
        </w:rPr>
        <w:t>With data sets covering five collections, results can be compared to identify trends in early childhood development across Australia.</w:t>
      </w:r>
    </w:p>
    <w:p w14:paraId="24BD2AB6" w14:textId="77777777" w:rsidR="002C1CD8" w:rsidRPr="00392E0D" w:rsidRDefault="002C1CD8" w:rsidP="002C1CD8">
      <w:pPr>
        <w:pStyle w:val="Body"/>
        <w:rPr>
          <w:rFonts w:cs="Arial"/>
        </w:rPr>
      </w:pPr>
      <w:r w:rsidRPr="00392E0D">
        <w:rPr>
          <w:rFonts w:cs="Arial"/>
        </w:rPr>
        <w:t>In 2021, the percentage of children developmentally vulnerable on one or more domain(s) increased by 0.3 percentage points from 21.7 per cent in 2018 to 22.0 per cent, back to levels equivalent to 2012 and 2015 (22.0 per cent).</w:t>
      </w:r>
    </w:p>
    <w:p w14:paraId="081C4244" w14:textId="77777777" w:rsidR="002C1CD8" w:rsidRPr="00392E0D" w:rsidRDefault="002C1CD8" w:rsidP="002C1CD8">
      <w:pPr>
        <w:pStyle w:val="Body"/>
        <w:rPr>
          <w:rFonts w:cs="Arial"/>
        </w:rPr>
      </w:pPr>
      <w:r w:rsidRPr="00392E0D">
        <w:rPr>
          <w:rFonts w:cs="Arial"/>
        </w:rPr>
        <w:t>A similar increase (0.4 percentage points) was observed in the percentage of children who were developmentally vulnerable on two or more domains in 2021 (11.4 per cent), the second highest level since baseline (11.8 per cent).</w:t>
      </w:r>
    </w:p>
    <w:p w14:paraId="50E15F7C" w14:textId="71630888" w:rsidR="002C1CD8" w:rsidRPr="00392E0D" w:rsidRDefault="002C1CD8" w:rsidP="002C1CD8">
      <w:pPr>
        <w:pStyle w:val="Body"/>
        <w:rPr>
          <w:rFonts w:cs="Arial"/>
        </w:rPr>
      </w:pPr>
      <w:proofErr w:type="gramStart"/>
      <w:r w:rsidRPr="00392E0D">
        <w:rPr>
          <w:rFonts w:cs="Arial"/>
        </w:rPr>
        <w:t>A majority of</w:t>
      </w:r>
      <w:proofErr w:type="gramEnd"/>
      <w:r w:rsidRPr="00392E0D">
        <w:rPr>
          <w:rFonts w:cs="Arial"/>
        </w:rPr>
        <w:t xml:space="preserve"> children were developmentally on track on all five domains, in each of the five collections, as shown in </w:t>
      </w:r>
      <w:r w:rsidR="00AC2622">
        <w:rPr>
          <w:rFonts w:cs="Arial"/>
        </w:rPr>
        <w:t>Table</w:t>
      </w:r>
      <w:r w:rsidRPr="00392E0D">
        <w:rPr>
          <w:rFonts w:cs="Arial"/>
        </w:rPr>
        <w:t xml:space="preserve"> </w:t>
      </w:r>
      <w:r w:rsidR="00AC2622">
        <w:rPr>
          <w:rFonts w:cs="Arial"/>
        </w:rPr>
        <w:t>5</w:t>
      </w:r>
      <w:r w:rsidRPr="00392E0D">
        <w:rPr>
          <w:rFonts w:cs="Arial"/>
        </w:rPr>
        <w:t xml:space="preserve"> In 2021, the percentage of children who were on track on five domains (54.8 per cent) decreased for the first time since baseline, 0.6 percentage points lower than its peak in 2018 (55.4 per cent).</w:t>
      </w:r>
    </w:p>
    <w:p w14:paraId="48B29AAC" w14:textId="4454A569" w:rsidR="002C1CD8" w:rsidRPr="00392E0D" w:rsidRDefault="002C1CD8" w:rsidP="002C1CD8">
      <w:pPr>
        <w:pStyle w:val="Body"/>
        <w:rPr>
          <w:rFonts w:cs="Arial"/>
        </w:rPr>
      </w:pPr>
      <w:r w:rsidRPr="00392E0D">
        <w:rPr>
          <w:rFonts w:cs="Arial"/>
        </w:rPr>
        <w:t xml:space="preserve">While these results show a small increase in developmental vulnerability nationally, they may be </w:t>
      </w:r>
      <w:proofErr w:type="gramStart"/>
      <w:r w:rsidRPr="00392E0D">
        <w:rPr>
          <w:rFonts w:cs="Arial"/>
        </w:rPr>
        <w:t>fairly modest</w:t>
      </w:r>
      <w:proofErr w:type="gramEnd"/>
      <w:r w:rsidRPr="00392E0D">
        <w:rPr>
          <w:rFonts w:cs="Arial"/>
        </w:rPr>
        <w:t xml:space="preserve"> results considering the potential impact of COVID-19 and the interruptions it caused to early learning and household stress experienced by families in 2020 and 2021.</w:t>
      </w:r>
    </w:p>
    <w:p w14:paraId="2A2220C2" w14:textId="17CB491E" w:rsidR="00207146" w:rsidRPr="00392E0D" w:rsidRDefault="00AC2622" w:rsidP="00AC2622">
      <w:pPr>
        <w:pStyle w:val="Caption"/>
        <w:rPr>
          <w:rFonts w:eastAsiaTheme="minorHAnsi" w:cs="Arial"/>
          <w:lang w:val="en-AU"/>
        </w:rPr>
      </w:pPr>
      <w:r>
        <w:t xml:space="preserve">Table </w:t>
      </w:r>
      <w:r>
        <w:fldChar w:fldCharType="begin"/>
      </w:r>
      <w:r>
        <w:instrText xml:space="preserve"> SEQ Table \* ARABIC </w:instrText>
      </w:r>
      <w:r>
        <w:fldChar w:fldCharType="separate"/>
      </w:r>
      <w:r w:rsidR="001424FD">
        <w:rPr>
          <w:noProof/>
        </w:rPr>
        <w:t>3</w:t>
      </w:r>
      <w:r>
        <w:fldChar w:fldCharType="end"/>
      </w:r>
      <w:r w:rsidR="002C1CD8" w:rsidRPr="00392E0D">
        <w:rPr>
          <w:rFonts w:cs="Arial"/>
        </w:rPr>
        <w:tab/>
      </w:r>
      <w:r w:rsidR="00207146" w:rsidRPr="00392E0D">
        <w:rPr>
          <w:rFonts w:eastAsiaTheme="minorHAnsi" w:cs="Arial"/>
          <w:lang w:val="en-AU"/>
        </w:rPr>
        <w:t>Summary indicators by collection cycle, national - Developmentally vulnerable on one or more domain(s)</w:t>
      </w:r>
    </w:p>
    <w:tbl>
      <w:tblPr>
        <w:tblStyle w:val="TableGrid"/>
        <w:tblW w:w="0" w:type="auto"/>
        <w:tblLayout w:type="fixed"/>
        <w:tblLook w:val="04A0" w:firstRow="1" w:lastRow="0" w:firstColumn="1" w:lastColumn="0" w:noHBand="0" w:noVBand="1"/>
      </w:tblPr>
      <w:tblGrid>
        <w:gridCol w:w="974"/>
        <w:gridCol w:w="975"/>
        <w:gridCol w:w="974"/>
        <w:gridCol w:w="975"/>
        <w:gridCol w:w="974"/>
        <w:gridCol w:w="974"/>
      </w:tblGrid>
      <w:tr w:rsidR="00207146" w:rsidRPr="00392E0D" w14:paraId="0EC921C5" w14:textId="77777777" w:rsidTr="008872DA">
        <w:trPr>
          <w:trHeight w:val="287"/>
          <w:tblHeader/>
        </w:trPr>
        <w:tc>
          <w:tcPr>
            <w:cnfStyle w:val="001000000000" w:firstRow="0" w:lastRow="0" w:firstColumn="1" w:lastColumn="0" w:oddVBand="0" w:evenVBand="0" w:oddHBand="0" w:evenHBand="0" w:firstRowFirstColumn="0" w:firstRowLastColumn="0" w:lastRowFirstColumn="0" w:lastRowLastColumn="0"/>
            <w:tcW w:w="974" w:type="dxa"/>
          </w:tcPr>
          <w:p w14:paraId="6F2A8F73" w14:textId="77777777" w:rsidR="00207146" w:rsidRPr="00392E0D" w:rsidRDefault="00207146" w:rsidP="00207146">
            <w:pPr>
              <w:widowControl/>
              <w:adjustRightInd w:val="0"/>
              <w:jc w:val="right"/>
              <w:rPr>
                <w:rFonts w:ascii="Arial" w:eastAsiaTheme="minorHAnsi" w:hAnsi="Arial" w:cs="Arial"/>
                <w:color w:val="000000"/>
                <w:sz w:val="20"/>
                <w:szCs w:val="20"/>
                <w:lang w:val="en-AU"/>
              </w:rPr>
            </w:pPr>
          </w:p>
        </w:tc>
        <w:tc>
          <w:tcPr>
            <w:tcW w:w="975" w:type="dxa"/>
          </w:tcPr>
          <w:p w14:paraId="4ECE290F"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4" w:type="dxa"/>
          </w:tcPr>
          <w:p w14:paraId="560A0F12"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Pr>
          <w:p w14:paraId="5AF11196"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4" w:type="dxa"/>
          </w:tcPr>
          <w:p w14:paraId="6D3C7E7B"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Pr>
          <w:p w14:paraId="44CD3077"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207146" w:rsidRPr="00392E0D" w14:paraId="1A3A991E" w14:textId="77777777" w:rsidTr="00207146">
        <w:trPr>
          <w:trHeight w:val="287"/>
        </w:trPr>
        <w:tc>
          <w:tcPr>
            <w:cnfStyle w:val="001000000000" w:firstRow="0" w:lastRow="0" w:firstColumn="1" w:lastColumn="0" w:oddVBand="0" w:evenVBand="0" w:oddHBand="0" w:evenHBand="0" w:firstRowFirstColumn="0" w:firstRowLastColumn="0" w:lastRowFirstColumn="0" w:lastRowLastColumn="0"/>
            <w:tcW w:w="974" w:type="dxa"/>
          </w:tcPr>
          <w:p w14:paraId="5521428E" w14:textId="367CA953" w:rsidR="00207146" w:rsidRPr="00392E0D" w:rsidRDefault="009B7612" w:rsidP="00207146">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5" w:type="dxa"/>
          </w:tcPr>
          <w:p w14:paraId="78032011"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58,036</w:t>
            </w:r>
          </w:p>
        </w:tc>
        <w:tc>
          <w:tcPr>
            <w:tcW w:w="974" w:type="dxa"/>
          </w:tcPr>
          <w:p w14:paraId="2AF22E41"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59,933</w:t>
            </w:r>
          </w:p>
        </w:tc>
        <w:tc>
          <w:tcPr>
            <w:tcW w:w="975" w:type="dxa"/>
          </w:tcPr>
          <w:p w14:paraId="27E533AE"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62,960</w:t>
            </w:r>
          </w:p>
        </w:tc>
        <w:tc>
          <w:tcPr>
            <w:tcW w:w="974" w:type="dxa"/>
          </w:tcPr>
          <w:p w14:paraId="1EFC594E"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63,448</w:t>
            </w:r>
          </w:p>
        </w:tc>
        <w:tc>
          <w:tcPr>
            <w:tcW w:w="974" w:type="dxa"/>
          </w:tcPr>
          <w:p w14:paraId="51FAB690"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63,264</w:t>
            </w:r>
          </w:p>
        </w:tc>
      </w:tr>
      <w:tr w:rsidR="00207146" w:rsidRPr="00392E0D" w14:paraId="3D4F7F74" w14:textId="77777777" w:rsidTr="00207146">
        <w:trPr>
          <w:trHeight w:val="287"/>
        </w:trPr>
        <w:tc>
          <w:tcPr>
            <w:cnfStyle w:val="001000000000" w:firstRow="0" w:lastRow="0" w:firstColumn="1" w:lastColumn="0" w:oddVBand="0" w:evenVBand="0" w:oddHBand="0" w:evenHBand="0" w:firstRowFirstColumn="0" w:firstRowLastColumn="0" w:lastRowFirstColumn="0" w:lastRowLastColumn="0"/>
            <w:tcW w:w="974" w:type="dxa"/>
          </w:tcPr>
          <w:p w14:paraId="5510CF77" w14:textId="2DE64004" w:rsidR="00207146" w:rsidRPr="00392E0D" w:rsidRDefault="00513B72" w:rsidP="00207146">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Pr>
          <w:p w14:paraId="00F3F195"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23.6</w:t>
            </w:r>
          </w:p>
        </w:tc>
        <w:tc>
          <w:tcPr>
            <w:tcW w:w="974" w:type="dxa"/>
          </w:tcPr>
          <w:p w14:paraId="2987A371"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22.0</w:t>
            </w:r>
          </w:p>
        </w:tc>
        <w:tc>
          <w:tcPr>
            <w:tcW w:w="975" w:type="dxa"/>
          </w:tcPr>
          <w:p w14:paraId="5395F660"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22.0</w:t>
            </w:r>
          </w:p>
        </w:tc>
        <w:tc>
          <w:tcPr>
            <w:tcW w:w="974" w:type="dxa"/>
          </w:tcPr>
          <w:p w14:paraId="3B199B6D"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21.7</w:t>
            </w:r>
          </w:p>
        </w:tc>
        <w:tc>
          <w:tcPr>
            <w:tcW w:w="974" w:type="dxa"/>
          </w:tcPr>
          <w:p w14:paraId="606C7EF6"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22.0</w:t>
            </w:r>
          </w:p>
        </w:tc>
      </w:tr>
    </w:tbl>
    <w:p w14:paraId="7631183E" w14:textId="162D070A" w:rsidR="00207146" w:rsidRPr="00392E0D" w:rsidRDefault="00207146" w:rsidP="00207146">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w:t>
      </w:r>
      <w:r w:rsidRPr="00392E0D">
        <w:rPr>
          <w:rFonts w:cs="Arial"/>
        </w:rPr>
        <w:fldChar w:fldCharType="end"/>
      </w:r>
      <w:r w:rsidRPr="00392E0D">
        <w:rPr>
          <w:rFonts w:cs="Arial"/>
        </w:rPr>
        <w:tab/>
      </w:r>
      <w:r w:rsidRPr="00392E0D">
        <w:rPr>
          <w:rFonts w:eastAsiaTheme="minorHAnsi" w:cs="Arial"/>
          <w:lang w:val="en-AU"/>
        </w:rPr>
        <w:t>Summary indicators by collection cycle, national - Developmentally vulnerable on two or more domains</w:t>
      </w:r>
    </w:p>
    <w:tbl>
      <w:tblPr>
        <w:tblStyle w:val="TableGrid"/>
        <w:tblW w:w="0" w:type="auto"/>
        <w:tblLayout w:type="fixed"/>
        <w:tblLook w:val="04A0" w:firstRow="1" w:lastRow="0" w:firstColumn="1" w:lastColumn="0" w:noHBand="0" w:noVBand="1"/>
      </w:tblPr>
      <w:tblGrid>
        <w:gridCol w:w="974"/>
        <w:gridCol w:w="975"/>
        <w:gridCol w:w="974"/>
        <w:gridCol w:w="975"/>
        <w:gridCol w:w="974"/>
        <w:gridCol w:w="974"/>
      </w:tblGrid>
      <w:tr w:rsidR="00207146" w:rsidRPr="00392E0D" w14:paraId="544A5F07" w14:textId="77777777" w:rsidTr="008872DA">
        <w:trPr>
          <w:trHeight w:val="287"/>
          <w:tblHeader/>
        </w:trPr>
        <w:tc>
          <w:tcPr>
            <w:cnfStyle w:val="001000000000" w:firstRow="0" w:lastRow="0" w:firstColumn="1" w:lastColumn="0" w:oddVBand="0" w:evenVBand="0" w:oddHBand="0" w:evenHBand="0" w:firstRowFirstColumn="0" w:firstRowLastColumn="0" w:lastRowFirstColumn="0" w:lastRowLastColumn="0"/>
            <w:tcW w:w="974" w:type="dxa"/>
          </w:tcPr>
          <w:p w14:paraId="4D3508D2" w14:textId="77777777" w:rsidR="00207146" w:rsidRPr="00392E0D" w:rsidRDefault="00207146" w:rsidP="00207146">
            <w:pPr>
              <w:widowControl/>
              <w:adjustRightInd w:val="0"/>
              <w:jc w:val="right"/>
              <w:rPr>
                <w:rFonts w:ascii="Arial" w:eastAsiaTheme="minorHAnsi" w:hAnsi="Arial" w:cs="Arial"/>
                <w:color w:val="000000"/>
                <w:sz w:val="20"/>
                <w:szCs w:val="20"/>
                <w:lang w:val="en-AU"/>
              </w:rPr>
            </w:pPr>
          </w:p>
        </w:tc>
        <w:tc>
          <w:tcPr>
            <w:tcW w:w="975" w:type="dxa"/>
          </w:tcPr>
          <w:p w14:paraId="06A02F58"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4" w:type="dxa"/>
          </w:tcPr>
          <w:p w14:paraId="4A44E848"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Pr>
          <w:p w14:paraId="508FFD87"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4" w:type="dxa"/>
          </w:tcPr>
          <w:p w14:paraId="3EFE090C"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Pr>
          <w:p w14:paraId="32ADE581"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207146" w:rsidRPr="00392E0D" w14:paraId="4551CF11" w14:textId="77777777" w:rsidTr="00207146">
        <w:trPr>
          <w:trHeight w:val="287"/>
        </w:trPr>
        <w:tc>
          <w:tcPr>
            <w:cnfStyle w:val="001000000000" w:firstRow="0" w:lastRow="0" w:firstColumn="1" w:lastColumn="0" w:oddVBand="0" w:evenVBand="0" w:oddHBand="0" w:evenHBand="0" w:firstRowFirstColumn="0" w:firstRowLastColumn="0" w:lastRowFirstColumn="0" w:lastRowLastColumn="0"/>
            <w:tcW w:w="974" w:type="dxa"/>
          </w:tcPr>
          <w:p w14:paraId="442C6F3A" w14:textId="1BF2370B" w:rsidR="00207146" w:rsidRPr="00392E0D" w:rsidRDefault="009B7612" w:rsidP="00207146">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5" w:type="dxa"/>
          </w:tcPr>
          <w:p w14:paraId="77B3DC2F"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29,227</w:t>
            </w:r>
          </w:p>
        </w:tc>
        <w:tc>
          <w:tcPr>
            <w:tcW w:w="974" w:type="dxa"/>
          </w:tcPr>
          <w:p w14:paraId="4A12E84A"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29,543</w:t>
            </w:r>
          </w:p>
        </w:tc>
        <w:tc>
          <w:tcPr>
            <w:tcW w:w="975" w:type="dxa"/>
          </w:tcPr>
          <w:p w14:paraId="52664A67"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31,754</w:t>
            </w:r>
          </w:p>
        </w:tc>
        <w:tc>
          <w:tcPr>
            <w:tcW w:w="974" w:type="dxa"/>
          </w:tcPr>
          <w:p w14:paraId="3941445C"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32,434</w:t>
            </w:r>
          </w:p>
        </w:tc>
        <w:tc>
          <w:tcPr>
            <w:tcW w:w="974" w:type="dxa"/>
          </w:tcPr>
          <w:p w14:paraId="17E84954"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32,718</w:t>
            </w:r>
          </w:p>
        </w:tc>
      </w:tr>
      <w:tr w:rsidR="00207146" w:rsidRPr="00392E0D" w14:paraId="5124362E" w14:textId="77777777" w:rsidTr="00207146">
        <w:trPr>
          <w:trHeight w:val="287"/>
        </w:trPr>
        <w:tc>
          <w:tcPr>
            <w:cnfStyle w:val="001000000000" w:firstRow="0" w:lastRow="0" w:firstColumn="1" w:lastColumn="0" w:oddVBand="0" w:evenVBand="0" w:oddHBand="0" w:evenHBand="0" w:firstRowFirstColumn="0" w:firstRowLastColumn="0" w:lastRowFirstColumn="0" w:lastRowLastColumn="0"/>
            <w:tcW w:w="974" w:type="dxa"/>
          </w:tcPr>
          <w:p w14:paraId="6E8197D0" w14:textId="303B4DCA" w:rsidR="00207146" w:rsidRPr="00392E0D" w:rsidRDefault="00513B72" w:rsidP="00207146">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Pr>
          <w:p w14:paraId="7CAA0231"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11.8</w:t>
            </w:r>
          </w:p>
        </w:tc>
        <w:tc>
          <w:tcPr>
            <w:tcW w:w="974" w:type="dxa"/>
          </w:tcPr>
          <w:p w14:paraId="212306EA"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975" w:type="dxa"/>
          </w:tcPr>
          <w:p w14:paraId="57CD1540"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11.1</w:t>
            </w:r>
          </w:p>
        </w:tc>
        <w:tc>
          <w:tcPr>
            <w:tcW w:w="974" w:type="dxa"/>
          </w:tcPr>
          <w:p w14:paraId="71B514B5"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11.0</w:t>
            </w:r>
          </w:p>
        </w:tc>
        <w:tc>
          <w:tcPr>
            <w:tcW w:w="974" w:type="dxa"/>
          </w:tcPr>
          <w:p w14:paraId="4AE86980"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11.4</w:t>
            </w:r>
          </w:p>
        </w:tc>
      </w:tr>
    </w:tbl>
    <w:p w14:paraId="3834B412" w14:textId="43C165BA" w:rsidR="00207146" w:rsidRPr="00392E0D" w:rsidRDefault="00207146" w:rsidP="00207146">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w:t>
      </w:r>
      <w:r w:rsidRPr="00392E0D">
        <w:rPr>
          <w:rFonts w:cs="Arial"/>
        </w:rPr>
        <w:fldChar w:fldCharType="end"/>
      </w:r>
      <w:r w:rsidRPr="00392E0D">
        <w:rPr>
          <w:rFonts w:cs="Arial"/>
        </w:rPr>
        <w:tab/>
      </w:r>
      <w:r w:rsidRPr="00392E0D">
        <w:rPr>
          <w:rFonts w:eastAsiaTheme="minorHAnsi" w:cs="Arial"/>
          <w:lang w:val="en-AU"/>
        </w:rPr>
        <w:t>Summary indicators by collection cycle, national - Developmentally on track on five domains</w:t>
      </w:r>
    </w:p>
    <w:tbl>
      <w:tblPr>
        <w:tblStyle w:val="TableGrid"/>
        <w:tblW w:w="0" w:type="auto"/>
        <w:tblLayout w:type="fixed"/>
        <w:tblLook w:val="04A0" w:firstRow="1" w:lastRow="0" w:firstColumn="1" w:lastColumn="0" w:noHBand="0" w:noVBand="1"/>
      </w:tblPr>
      <w:tblGrid>
        <w:gridCol w:w="974"/>
        <w:gridCol w:w="975"/>
        <w:gridCol w:w="974"/>
        <w:gridCol w:w="975"/>
        <w:gridCol w:w="974"/>
        <w:gridCol w:w="974"/>
      </w:tblGrid>
      <w:tr w:rsidR="00207146" w:rsidRPr="00392E0D" w14:paraId="5F84B09F" w14:textId="77777777" w:rsidTr="008872DA">
        <w:trPr>
          <w:trHeight w:val="287"/>
          <w:tblHeader/>
        </w:trPr>
        <w:tc>
          <w:tcPr>
            <w:cnfStyle w:val="001000000000" w:firstRow="0" w:lastRow="0" w:firstColumn="1" w:lastColumn="0" w:oddVBand="0" w:evenVBand="0" w:oddHBand="0" w:evenHBand="0" w:firstRowFirstColumn="0" w:firstRowLastColumn="0" w:lastRowFirstColumn="0" w:lastRowLastColumn="0"/>
            <w:tcW w:w="974" w:type="dxa"/>
          </w:tcPr>
          <w:p w14:paraId="6AF08F08" w14:textId="77777777" w:rsidR="00207146" w:rsidRPr="00392E0D" w:rsidRDefault="00207146" w:rsidP="00207146">
            <w:pPr>
              <w:widowControl/>
              <w:adjustRightInd w:val="0"/>
              <w:jc w:val="right"/>
              <w:rPr>
                <w:rFonts w:ascii="Arial" w:eastAsiaTheme="minorHAnsi" w:hAnsi="Arial" w:cs="Arial"/>
                <w:color w:val="000000"/>
                <w:sz w:val="20"/>
                <w:szCs w:val="20"/>
                <w:lang w:val="en-AU"/>
              </w:rPr>
            </w:pPr>
          </w:p>
        </w:tc>
        <w:tc>
          <w:tcPr>
            <w:tcW w:w="975" w:type="dxa"/>
          </w:tcPr>
          <w:p w14:paraId="29AC12A1"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4" w:type="dxa"/>
          </w:tcPr>
          <w:p w14:paraId="4953738B"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Pr>
          <w:p w14:paraId="21847929"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4" w:type="dxa"/>
          </w:tcPr>
          <w:p w14:paraId="7228CF51"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Pr>
          <w:p w14:paraId="22A643D3"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207146" w:rsidRPr="00392E0D" w14:paraId="05E36F9E" w14:textId="77777777" w:rsidTr="00405C0F">
        <w:trPr>
          <w:trHeight w:val="287"/>
        </w:trPr>
        <w:tc>
          <w:tcPr>
            <w:cnfStyle w:val="001000000000" w:firstRow="0" w:lastRow="0" w:firstColumn="1" w:lastColumn="0" w:oddVBand="0" w:evenVBand="0" w:oddHBand="0" w:evenHBand="0" w:firstRowFirstColumn="0" w:firstRowLastColumn="0" w:lastRowFirstColumn="0" w:lastRowLastColumn="0"/>
            <w:tcW w:w="974" w:type="dxa"/>
          </w:tcPr>
          <w:p w14:paraId="00789BBB" w14:textId="5EAF47FB" w:rsidR="00207146" w:rsidRPr="00392E0D" w:rsidRDefault="009B7612" w:rsidP="00207146">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5" w:type="dxa"/>
          </w:tcPr>
          <w:p w14:paraId="2DFB11DA"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125,130</w:t>
            </w:r>
          </w:p>
        </w:tc>
        <w:tc>
          <w:tcPr>
            <w:tcW w:w="974" w:type="dxa"/>
          </w:tcPr>
          <w:p w14:paraId="13E8A587"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146,362</w:t>
            </w:r>
          </w:p>
        </w:tc>
        <w:tc>
          <w:tcPr>
            <w:tcW w:w="975" w:type="dxa"/>
          </w:tcPr>
          <w:p w14:paraId="5F22D60A"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155,238</w:t>
            </w:r>
          </w:p>
        </w:tc>
        <w:tc>
          <w:tcPr>
            <w:tcW w:w="974" w:type="dxa"/>
          </w:tcPr>
          <w:p w14:paraId="567A2359"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162,440</w:t>
            </w:r>
          </w:p>
        </w:tc>
        <w:tc>
          <w:tcPr>
            <w:tcW w:w="974" w:type="dxa"/>
          </w:tcPr>
          <w:p w14:paraId="26AAEA18"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157,436</w:t>
            </w:r>
          </w:p>
        </w:tc>
      </w:tr>
      <w:tr w:rsidR="00207146" w:rsidRPr="00392E0D" w14:paraId="53A5181B" w14:textId="77777777" w:rsidTr="00405C0F">
        <w:trPr>
          <w:trHeight w:val="287"/>
        </w:trPr>
        <w:tc>
          <w:tcPr>
            <w:cnfStyle w:val="001000000000" w:firstRow="0" w:lastRow="0" w:firstColumn="1" w:lastColumn="0" w:oddVBand="0" w:evenVBand="0" w:oddHBand="0" w:evenHBand="0" w:firstRowFirstColumn="0" w:firstRowLastColumn="0" w:lastRowFirstColumn="0" w:lastRowLastColumn="0"/>
            <w:tcW w:w="974" w:type="dxa"/>
          </w:tcPr>
          <w:p w14:paraId="013DAC29" w14:textId="764CBC35" w:rsidR="00207146" w:rsidRPr="00392E0D" w:rsidRDefault="00513B72" w:rsidP="00207146">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Pr>
          <w:p w14:paraId="3602575E"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50.7</w:t>
            </w:r>
          </w:p>
        </w:tc>
        <w:tc>
          <w:tcPr>
            <w:tcW w:w="974" w:type="dxa"/>
          </w:tcPr>
          <w:p w14:paraId="12DE8D04"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53.6</w:t>
            </w:r>
          </w:p>
        </w:tc>
        <w:tc>
          <w:tcPr>
            <w:tcW w:w="975" w:type="dxa"/>
          </w:tcPr>
          <w:p w14:paraId="7ED4858D"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54.2</w:t>
            </w:r>
          </w:p>
        </w:tc>
        <w:tc>
          <w:tcPr>
            <w:tcW w:w="974" w:type="dxa"/>
          </w:tcPr>
          <w:p w14:paraId="3A146DC8"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55.4</w:t>
            </w:r>
          </w:p>
        </w:tc>
        <w:tc>
          <w:tcPr>
            <w:tcW w:w="974" w:type="dxa"/>
          </w:tcPr>
          <w:p w14:paraId="3CC4595D" w14:textId="77777777" w:rsidR="00207146" w:rsidRPr="00392E0D" w:rsidRDefault="00207146" w:rsidP="00207146">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54.8</w:t>
            </w:r>
          </w:p>
        </w:tc>
      </w:tr>
    </w:tbl>
    <w:p w14:paraId="00D408BF" w14:textId="77777777" w:rsidR="002C1CD8" w:rsidRPr="00392E0D" w:rsidRDefault="002C1CD8" w:rsidP="002C1CD8">
      <w:pPr>
        <w:pStyle w:val="Body"/>
        <w:rPr>
          <w:rFonts w:cs="Arial"/>
        </w:rPr>
      </w:pPr>
    </w:p>
    <w:p w14:paraId="7E5A9358" w14:textId="73D38DE1" w:rsidR="002C1CD8" w:rsidRPr="00392E0D" w:rsidRDefault="002C1CD8">
      <w:pPr>
        <w:widowControl/>
        <w:autoSpaceDE/>
        <w:autoSpaceDN/>
        <w:rPr>
          <w:rFonts w:ascii="Arial" w:eastAsia="Times New Roman" w:hAnsi="Arial" w:cs="Arial"/>
          <w:sz w:val="21"/>
          <w:szCs w:val="20"/>
        </w:rPr>
      </w:pPr>
      <w:r w:rsidRPr="00392E0D">
        <w:rPr>
          <w:rFonts w:ascii="Arial" w:hAnsi="Arial" w:cs="Arial"/>
        </w:rPr>
        <w:br w:type="page"/>
      </w:r>
    </w:p>
    <w:p w14:paraId="60A8BC82" w14:textId="5DAA3E9E" w:rsidR="002C1CD8" w:rsidRPr="00392E0D" w:rsidRDefault="00203BD6" w:rsidP="001E1A5B">
      <w:pPr>
        <w:pStyle w:val="Heading1"/>
        <w:rPr>
          <w:rFonts w:cs="Arial"/>
        </w:rPr>
      </w:pPr>
      <w:bookmarkStart w:id="3" w:name="_Toc99530568"/>
      <w:r w:rsidRPr="00392E0D">
        <w:rPr>
          <w:rFonts w:cs="Arial"/>
        </w:rPr>
        <w:lastRenderedPageBreak/>
        <w:t>C</w:t>
      </w:r>
      <w:r w:rsidR="004A4EC9">
        <w:rPr>
          <w:rFonts w:cs="Arial"/>
        </w:rPr>
        <w:t>ase</w:t>
      </w:r>
      <w:r w:rsidRPr="00392E0D">
        <w:rPr>
          <w:rFonts w:cs="Arial"/>
        </w:rPr>
        <w:t xml:space="preserve"> </w:t>
      </w:r>
      <w:r w:rsidR="004A4EC9">
        <w:rPr>
          <w:rFonts w:cs="Arial"/>
        </w:rPr>
        <w:t>studies</w:t>
      </w:r>
      <w:bookmarkEnd w:id="3"/>
    </w:p>
    <w:p w14:paraId="52669408" w14:textId="77777777" w:rsidR="00203BD6" w:rsidRPr="00392E0D" w:rsidRDefault="00203BD6" w:rsidP="00203BD6">
      <w:pPr>
        <w:pStyle w:val="Heading2"/>
        <w:rPr>
          <w:rFonts w:cs="Arial"/>
        </w:rPr>
      </w:pPr>
      <w:r w:rsidRPr="00392E0D">
        <w:rPr>
          <w:rFonts w:cs="Arial"/>
        </w:rPr>
        <w:t>Community Skills 4 Kids Café (Tasmania)</w:t>
      </w:r>
    </w:p>
    <w:p w14:paraId="6149C4FE" w14:textId="6DF15D10" w:rsidR="00203BD6" w:rsidRPr="00392E0D" w:rsidRDefault="00203BD6" w:rsidP="00203BD6">
      <w:pPr>
        <w:pStyle w:val="Body"/>
        <w:rPr>
          <w:rFonts w:cs="Arial"/>
        </w:rPr>
      </w:pPr>
      <w:r w:rsidRPr="00392E0D">
        <w:rPr>
          <w:rFonts w:cs="Arial"/>
        </w:rPr>
        <w:t>The Waverley Community Skills 4 Kids Café, funded through a grant informed by the AEDC, was created to bring together members of the Waverley community in Tasmania to support the development of its young people. The Northern Early Years Group (</w:t>
      </w:r>
      <w:proofErr w:type="spellStart"/>
      <w:r w:rsidRPr="00392E0D">
        <w:rPr>
          <w:rFonts w:cs="Arial"/>
        </w:rPr>
        <w:t>NEYG</w:t>
      </w:r>
      <w:proofErr w:type="spellEnd"/>
      <w:r w:rsidRPr="00392E0D">
        <w:rPr>
          <w:rFonts w:cs="Arial"/>
        </w:rPr>
        <w:t>) responded to the AEDC data by looking at how their project could address increasing developmental vulnerability amongst children in their community. There were increases in all domains, particularly in the physical health and wellbeing and language and cognitive skills domains. The group provided community members of all ages with the tools and confidence to share skills with children about healthy food, physical activity, arts and story-telling – all in a café-style environment.</w:t>
      </w:r>
    </w:p>
    <w:p w14:paraId="23D08355" w14:textId="1B2ED53E" w:rsidR="00203BD6" w:rsidRPr="00392E0D" w:rsidRDefault="00203BD6" w:rsidP="00203BD6">
      <w:pPr>
        <w:pStyle w:val="Body"/>
        <w:rPr>
          <w:rFonts w:cs="Arial"/>
        </w:rPr>
      </w:pPr>
      <w:r w:rsidRPr="00392E0D">
        <w:rPr>
          <w:rFonts w:cs="Arial"/>
        </w:rPr>
        <w:t xml:space="preserve">The arrival of COVID-19 meant that the collective impact </w:t>
      </w:r>
      <w:proofErr w:type="spellStart"/>
      <w:r w:rsidRPr="00392E0D">
        <w:rPr>
          <w:rFonts w:cs="Arial"/>
        </w:rPr>
        <w:t>organisation</w:t>
      </w:r>
      <w:proofErr w:type="spellEnd"/>
      <w:r w:rsidRPr="00392E0D">
        <w:rPr>
          <w:rFonts w:cs="Arial"/>
        </w:rPr>
        <w:t xml:space="preserve"> behind the Skills 4 Kids Café, the </w:t>
      </w:r>
      <w:proofErr w:type="spellStart"/>
      <w:r w:rsidRPr="00392E0D">
        <w:rPr>
          <w:rFonts w:cs="Arial"/>
        </w:rPr>
        <w:t>NEYG</w:t>
      </w:r>
      <w:proofErr w:type="spellEnd"/>
      <w:r w:rsidRPr="00392E0D">
        <w:rPr>
          <w:rFonts w:cs="Arial"/>
        </w:rPr>
        <w:t>, had to find new ways to support children in the Waverley community. From here, the idea of a ‘cooking box’ came to life. These bundles of food basics, fresh produce, and recipes provided families with the supplies needed to cook together at home and were delivered to local families with young children.</w:t>
      </w:r>
    </w:p>
    <w:p w14:paraId="2EA70EED" w14:textId="17F933EB" w:rsidR="00203BD6" w:rsidRPr="00392E0D" w:rsidRDefault="00203BD6" w:rsidP="00203BD6">
      <w:pPr>
        <w:pStyle w:val="Body"/>
        <w:rPr>
          <w:rFonts w:cs="Arial"/>
        </w:rPr>
      </w:pPr>
      <w:r w:rsidRPr="00392E0D">
        <w:rPr>
          <w:rFonts w:cs="Arial"/>
        </w:rPr>
        <w:t xml:space="preserve">A Waverley Community Co-Op Facebook page was established which provided opportunities for families to share stories and images of how they used the provided resources, attracting more than 20,000 views. A community food and resource sharing site </w:t>
      </w:r>
      <w:proofErr w:type="gramStart"/>
      <w:r w:rsidRPr="00392E0D">
        <w:rPr>
          <w:rFonts w:cs="Arial"/>
        </w:rPr>
        <w:t>was</w:t>
      </w:r>
      <w:proofErr w:type="gramEnd"/>
      <w:r w:rsidRPr="00392E0D">
        <w:rPr>
          <w:rFonts w:cs="Arial"/>
        </w:rPr>
        <w:t xml:space="preserve"> established to support local families during the peak of the 2020 COVID outbreak, and native understory shrubs were planted at Waverley Primary School, both with support from the AEDC grant. The project continues to seed benefits in the Waverley region.</w:t>
      </w:r>
    </w:p>
    <w:p w14:paraId="2DE64504" w14:textId="6699D1E0" w:rsidR="00203BD6" w:rsidRPr="00392E0D" w:rsidRDefault="00203BD6" w:rsidP="00203BD6">
      <w:pPr>
        <w:pStyle w:val="Body"/>
        <w:rPr>
          <w:rFonts w:cs="Arial"/>
        </w:rPr>
      </w:pPr>
      <w:r w:rsidRPr="00392E0D">
        <w:rPr>
          <w:rFonts w:cs="Arial"/>
        </w:rPr>
        <w:t xml:space="preserve">For this and other stories visit </w:t>
      </w:r>
      <w:hyperlink r:id="rId17" w:history="1">
        <w:r w:rsidRPr="00392E0D">
          <w:rPr>
            <w:rStyle w:val="Hyperlink"/>
            <w:rFonts w:cs="Arial"/>
            <w:color w:val="000000" w:themeColor="text1"/>
          </w:rPr>
          <w:t>aedc.gov.au/cs</w:t>
        </w:r>
      </w:hyperlink>
    </w:p>
    <w:p w14:paraId="4DDFFD1A" w14:textId="001C5FD1" w:rsidR="00203BD6" w:rsidRPr="00392E0D" w:rsidRDefault="00203BD6" w:rsidP="00203BD6">
      <w:pPr>
        <w:pStyle w:val="Heading2"/>
        <w:rPr>
          <w:rFonts w:cs="Arial"/>
        </w:rPr>
      </w:pPr>
      <w:r w:rsidRPr="00392E0D">
        <w:rPr>
          <w:rFonts w:cs="Arial"/>
        </w:rPr>
        <w:t>All Children Thriving and Learning in South Australia by 2031</w:t>
      </w:r>
    </w:p>
    <w:p w14:paraId="34B642A8" w14:textId="77777777" w:rsidR="00203BD6" w:rsidRPr="00392E0D" w:rsidRDefault="00203BD6" w:rsidP="00203BD6">
      <w:pPr>
        <w:pStyle w:val="Body"/>
        <w:rPr>
          <w:rFonts w:cs="Arial"/>
        </w:rPr>
      </w:pPr>
      <w:r w:rsidRPr="00392E0D">
        <w:rPr>
          <w:rFonts w:cs="Arial"/>
        </w:rPr>
        <w:t xml:space="preserve">In response to the increasing percentage of children developmentally vulnerable in South Australia, a new 10-year Early Learning Strategy has been developed that </w:t>
      </w:r>
      <w:proofErr w:type="spellStart"/>
      <w:r w:rsidRPr="00392E0D">
        <w:rPr>
          <w:rFonts w:cs="Arial"/>
        </w:rPr>
        <w:t>recognises</w:t>
      </w:r>
      <w:proofErr w:type="spellEnd"/>
      <w:r w:rsidRPr="00392E0D">
        <w:rPr>
          <w:rFonts w:cs="Arial"/>
        </w:rPr>
        <w:t xml:space="preserve"> the importance of early childhood learning and development. This strategy seeks to expand the reach, frequency and number of child development checks; give parents easy access to tips and resources to support their child’s development; provide teachers with new resources to build on the high-quality learning and development in every public preschool; and provide strategic vision and direction across the early years system in South Australia through the new Office for the Early Years, in the Department for Education.</w:t>
      </w:r>
    </w:p>
    <w:p w14:paraId="4AB97393" w14:textId="752DE625" w:rsidR="00203BD6" w:rsidRPr="00392E0D" w:rsidRDefault="00203BD6" w:rsidP="00203BD6">
      <w:pPr>
        <w:pStyle w:val="Body"/>
        <w:rPr>
          <w:rFonts w:cs="Arial"/>
        </w:rPr>
      </w:pPr>
      <w:r w:rsidRPr="00392E0D">
        <w:rPr>
          <w:rFonts w:cs="Arial"/>
        </w:rPr>
        <w:t>This strategy forms part of the South Australian Department for Education’s broader reforms to achieve world-class education in South Australia by 2031, with goals to form strong partnerships across government and non-government sectors to increase the percentage of children developmentally ‘on track’; support highly engaged parents to help their children learn and reach their potential; and achieve high-quality educational preschool programs.</w:t>
      </w:r>
    </w:p>
    <w:p w14:paraId="5B948E65" w14:textId="3B172788" w:rsidR="00203BD6" w:rsidRPr="00392E0D" w:rsidRDefault="00203BD6" w:rsidP="00203BD6">
      <w:pPr>
        <w:pStyle w:val="Body"/>
        <w:rPr>
          <w:rFonts w:cs="Arial"/>
        </w:rPr>
      </w:pPr>
      <w:r w:rsidRPr="00392E0D">
        <w:rPr>
          <w:rFonts w:cs="Arial"/>
        </w:rPr>
        <w:t xml:space="preserve">Under the strategy, effort includes a focus on supporting communities to implement responses to AEDC results through </w:t>
      </w:r>
      <w:proofErr w:type="gramStart"/>
      <w:r w:rsidRPr="00392E0D">
        <w:rPr>
          <w:rFonts w:cs="Arial"/>
        </w:rPr>
        <w:t>a number of</w:t>
      </w:r>
      <w:proofErr w:type="gramEnd"/>
      <w:r w:rsidRPr="00392E0D">
        <w:rPr>
          <w:rFonts w:cs="Arial"/>
        </w:rPr>
        <w:t xml:space="preserve"> initiatives including improving availability of SA AEDC data and analysis at the community level, increased resources and a local government grants program. Progress will be monitored over the next 10 years, including the percentage of SA children assessed as ‘developmentally on track’ across all AEDC domains and ‘developmentally vulnerable’ on 1 or more AEDC domains.</w:t>
      </w:r>
    </w:p>
    <w:p w14:paraId="025471A3" w14:textId="3615628E" w:rsidR="00567423" w:rsidRPr="00392E0D" w:rsidRDefault="00203BD6" w:rsidP="00203BD6">
      <w:pPr>
        <w:pStyle w:val="Body"/>
        <w:rPr>
          <w:rFonts w:cs="Arial"/>
        </w:rPr>
      </w:pPr>
      <w:r w:rsidRPr="00392E0D">
        <w:rPr>
          <w:rFonts w:cs="Arial"/>
        </w:rPr>
        <w:t xml:space="preserve">For this and other stories visit </w:t>
      </w:r>
      <w:hyperlink r:id="rId18" w:history="1">
        <w:r w:rsidRPr="00392E0D">
          <w:rPr>
            <w:rStyle w:val="Hyperlink"/>
            <w:rFonts w:cs="Arial"/>
            <w:color w:val="000000" w:themeColor="text1"/>
          </w:rPr>
          <w:t>aedc.gov.au/cs</w:t>
        </w:r>
      </w:hyperlink>
    </w:p>
    <w:p w14:paraId="24D260C1" w14:textId="77777777" w:rsidR="00567423" w:rsidRPr="00392E0D" w:rsidRDefault="00567423">
      <w:pPr>
        <w:widowControl/>
        <w:autoSpaceDE/>
        <w:autoSpaceDN/>
        <w:rPr>
          <w:rFonts w:ascii="Arial" w:eastAsia="Times New Roman" w:hAnsi="Arial" w:cs="Arial"/>
          <w:sz w:val="21"/>
          <w:szCs w:val="20"/>
        </w:rPr>
      </w:pPr>
      <w:r w:rsidRPr="00392E0D">
        <w:rPr>
          <w:rFonts w:ascii="Arial" w:hAnsi="Arial" w:cs="Arial"/>
        </w:rPr>
        <w:br w:type="page"/>
      </w:r>
    </w:p>
    <w:p w14:paraId="081C86E0" w14:textId="7F4B2E0D" w:rsidR="00567423" w:rsidRPr="00392E0D" w:rsidRDefault="00567423" w:rsidP="001E1A5B">
      <w:pPr>
        <w:pStyle w:val="Heading1"/>
        <w:rPr>
          <w:rFonts w:cs="Arial"/>
        </w:rPr>
      </w:pPr>
      <w:bookmarkStart w:id="4" w:name="_Toc99530569"/>
      <w:r w:rsidRPr="00392E0D">
        <w:rPr>
          <w:rFonts w:cs="Arial"/>
        </w:rPr>
        <w:lastRenderedPageBreak/>
        <w:t>AEDC domains</w:t>
      </w:r>
      <w:bookmarkEnd w:id="4"/>
    </w:p>
    <w:p w14:paraId="02329C44" w14:textId="0FA9E091" w:rsidR="00567423" w:rsidRPr="00392E0D" w:rsidRDefault="00567423" w:rsidP="00567423">
      <w:pPr>
        <w:pStyle w:val="Heading2"/>
        <w:rPr>
          <w:rFonts w:cs="Arial"/>
        </w:rPr>
      </w:pPr>
      <w:r w:rsidRPr="00392E0D">
        <w:rPr>
          <w:rFonts w:cs="Arial"/>
        </w:rPr>
        <w:t>National trends by domain</w:t>
      </w:r>
    </w:p>
    <w:p w14:paraId="6DB98031" w14:textId="3BA572B2" w:rsidR="00567423" w:rsidRPr="00392E0D" w:rsidRDefault="00567423" w:rsidP="00567423">
      <w:pPr>
        <w:pStyle w:val="Body"/>
        <w:rPr>
          <w:rFonts w:cs="Arial"/>
        </w:rPr>
      </w:pPr>
      <w:r w:rsidRPr="00392E0D">
        <w:rPr>
          <w:rFonts w:cs="Arial"/>
        </w:rPr>
        <w:t xml:space="preserve">Trends since baseline for each of the AEDC domains can be seen in </w:t>
      </w:r>
      <w:r w:rsidR="004A4EC9">
        <w:rPr>
          <w:rFonts w:cs="Arial"/>
        </w:rPr>
        <w:t>Tables 6 to 10</w:t>
      </w:r>
      <w:r w:rsidR="00C83446">
        <w:rPr>
          <w:rFonts w:cs="Arial"/>
        </w:rPr>
        <w:t>.</w:t>
      </w:r>
    </w:p>
    <w:p w14:paraId="0077C4C0" w14:textId="77777777" w:rsidR="00567423" w:rsidRPr="00392E0D" w:rsidRDefault="00567423" w:rsidP="00567423">
      <w:pPr>
        <w:pStyle w:val="Body"/>
        <w:rPr>
          <w:rFonts w:cs="Arial"/>
        </w:rPr>
      </w:pPr>
      <w:r w:rsidRPr="00392E0D">
        <w:rPr>
          <w:rFonts w:cs="Arial"/>
        </w:rPr>
        <w:t>Around 75 per cent of children have been developmentally on track in each of the five domains in each collection cycle. Conversely, less than ten per cent of children have been assessed as developmentally vulnerable on each domain and the remaining balance as developmentally at risk.</w:t>
      </w:r>
    </w:p>
    <w:p w14:paraId="0DC3B16D" w14:textId="77777777" w:rsidR="00567423" w:rsidRPr="00392E0D" w:rsidRDefault="00567423" w:rsidP="00567423">
      <w:pPr>
        <w:pStyle w:val="Body"/>
        <w:rPr>
          <w:rFonts w:cs="Arial"/>
        </w:rPr>
      </w:pPr>
      <w:r w:rsidRPr="00392E0D">
        <w:rPr>
          <w:rFonts w:cs="Arial"/>
        </w:rPr>
        <w:t>In 2021, there were increases in the percentage of children who were developmentally vulnerable in three out of the five domains: most notably the language and cognitive skills (school-based) domain (0.7 percentage points), but also the physical health and wellbeing (0.2 percentage points) and communication and general knowledge (0.2 percentage points) domains.</w:t>
      </w:r>
    </w:p>
    <w:p w14:paraId="0318D892" w14:textId="156BF1EB" w:rsidR="00567423" w:rsidRPr="00392E0D" w:rsidRDefault="00567423" w:rsidP="00567423">
      <w:pPr>
        <w:pStyle w:val="Body"/>
        <w:rPr>
          <w:rFonts w:cs="Arial"/>
        </w:rPr>
      </w:pPr>
      <w:r w:rsidRPr="00392E0D">
        <w:rPr>
          <w:rFonts w:cs="Arial"/>
        </w:rPr>
        <w:t>There was a small improvement in vulnerability on the social competence domain (by 0.2 percentage points), while vulnerability on the emotional maturity domain was statistically unchanged.</w:t>
      </w:r>
    </w:p>
    <w:p w14:paraId="6A8661E2" w14:textId="5D4AB369" w:rsidR="00C372DF" w:rsidRPr="00392E0D" w:rsidRDefault="00C372DF" w:rsidP="00C372DF">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w:t>
      </w:r>
      <w:r w:rsidRPr="00392E0D">
        <w:rPr>
          <w:rFonts w:cs="Arial"/>
        </w:rPr>
        <w:fldChar w:fldCharType="end"/>
      </w:r>
      <w:r w:rsidRPr="00392E0D">
        <w:rPr>
          <w:rFonts w:cs="Arial"/>
        </w:rPr>
        <w:tab/>
      </w:r>
      <w:r w:rsidRPr="00392E0D">
        <w:rPr>
          <w:rFonts w:eastAsiaTheme="minorHAnsi" w:cs="Arial"/>
          <w:lang w:val="en-AU"/>
        </w:rPr>
        <w:t>National trends for Physical health and wellbeing domain, all collections</w:t>
      </w:r>
    </w:p>
    <w:tbl>
      <w:tblPr>
        <w:tblStyle w:val="TableGrid"/>
        <w:tblW w:w="10343" w:type="dxa"/>
        <w:tblLayout w:type="fixed"/>
        <w:tblLook w:val="04A0" w:firstRow="1" w:lastRow="0" w:firstColumn="1" w:lastColumn="0" w:noHBand="0" w:noVBand="1"/>
      </w:tblPr>
      <w:tblGrid>
        <w:gridCol w:w="974"/>
        <w:gridCol w:w="1561"/>
        <w:gridCol w:w="1562"/>
        <w:gridCol w:w="1561"/>
        <w:gridCol w:w="1562"/>
        <w:gridCol w:w="1561"/>
        <w:gridCol w:w="1562"/>
      </w:tblGrid>
      <w:tr w:rsidR="00C372DF" w:rsidRPr="00392E0D" w14:paraId="09F0EAF3" w14:textId="77777777" w:rsidTr="005274AC">
        <w:trPr>
          <w:trHeight w:val="276"/>
          <w:tblHeader/>
        </w:trPr>
        <w:tc>
          <w:tcPr>
            <w:cnfStyle w:val="001000000000" w:firstRow="0" w:lastRow="0" w:firstColumn="1" w:lastColumn="0" w:oddVBand="0" w:evenVBand="0" w:oddHBand="0" w:evenHBand="0" w:firstRowFirstColumn="0" w:firstRowLastColumn="0" w:lastRowFirstColumn="0" w:lastRowLastColumn="0"/>
            <w:tcW w:w="974" w:type="dxa"/>
          </w:tcPr>
          <w:p w14:paraId="4065FCF5" w14:textId="77777777" w:rsidR="00C372DF" w:rsidRPr="00392E0D" w:rsidRDefault="00C372DF" w:rsidP="005274AC">
            <w:pPr>
              <w:widowControl/>
              <w:adjustRightInd w:val="0"/>
              <w:jc w:val="center"/>
              <w:rPr>
                <w:rFonts w:ascii="Arial" w:eastAsiaTheme="minorHAnsi" w:hAnsi="Arial" w:cs="Arial"/>
                <w:color w:val="000000"/>
                <w:sz w:val="20"/>
                <w:szCs w:val="20"/>
                <w:lang w:val="en-AU"/>
              </w:rPr>
            </w:pPr>
          </w:p>
        </w:tc>
        <w:tc>
          <w:tcPr>
            <w:tcW w:w="1561" w:type="dxa"/>
          </w:tcPr>
          <w:p w14:paraId="23A62563"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62" w:type="dxa"/>
          </w:tcPr>
          <w:p w14:paraId="37F50D66"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61" w:type="dxa"/>
          </w:tcPr>
          <w:p w14:paraId="4F0FD201"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62" w:type="dxa"/>
          </w:tcPr>
          <w:p w14:paraId="2CF842F0"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61" w:type="dxa"/>
          </w:tcPr>
          <w:p w14:paraId="4B2CAB1B"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562" w:type="dxa"/>
          </w:tcPr>
          <w:p w14:paraId="0BAD1450"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C372DF" w:rsidRPr="00392E0D" w14:paraId="50DC1BBD" w14:textId="77777777" w:rsidTr="005274AC">
        <w:trPr>
          <w:trHeight w:val="311"/>
          <w:tblHeader/>
        </w:trPr>
        <w:tc>
          <w:tcPr>
            <w:cnfStyle w:val="001000000000" w:firstRow="0" w:lastRow="0" w:firstColumn="1" w:lastColumn="0" w:oddVBand="0" w:evenVBand="0" w:oddHBand="0" w:evenHBand="0" w:firstRowFirstColumn="0" w:firstRowLastColumn="0" w:lastRowFirstColumn="0" w:lastRowLastColumn="0"/>
            <w:tcW w:w="974" w:type="dxa"/>
          </w:tcPr>
          <w:p w14:paraId="7A72345B" w14:textId="77777777" w:rsidR="00C372DF" w:rsidRPr="00392E0D" w:rsidRDefault="00C372DF" w:rsidP="005274AC">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61" w:type="dxa"/>
          </w:tcPr>
          <w:p w14:paraId="0A4F7D39"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192,031</w:t>
            </w:r>
          </w:p>
        </w:tc>
        <w:tc>
          <w:tcPr>
            <w:tcW w:w="1562" w:type="dxa"/>
          </w:tcPr>
          <w:p w14:paraId="2683B86B"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77.7</w:t>
            </w:r>
          </w:p>
        </w:tc>
        <w:tc>
          <w:tcPr>
            <w:tcW w:w="1561" w:type="dxa"/>
          </w:tcPr>
          <w:p w14:paraId="2646AA01"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32,157</w:t>
            </w:r>
          </w:p>
        </w:tc>
        <w:tc>
          <w:tcPr>
            <w:tcW w:w="1562" w:type="dxa"/>
          </w:tcPr>
          <w:p w14:paraId="7FF4A6A0"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w:t>
            </w:r>
          </w:p>
        </w:tc>
        <w:tc>
          <w:tcPr>
            <w:tcW w:w="1561" w:type="dxa"/>
          </w:tcPr>
          <w:p w14:paraId="67A94627"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23,044</w:t>
            </w:r>
          </w:p>
        </w:tc>
        <w:tc>
          <w:tcPr>
            <w:tcW w:w="1562" w:type="dxa"/>
          </w:tcPr>
          <w:p w14:paraId="63F53416"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w:t>
            </w:r>
          </w:p>
        </w:tc>
      </w:tr>
      <w:tr w:rsidR="00C372DF" w:rsidRPr="00392E0D" w14:paraId="5A5F3F5B" w14:textId="77777777" w:rsidTr="005274AC">
        <w:trPr>
          <w:trHeight w:val="287"/>
          <w:tblHeader/>
        </w:trPr>
        <w:tc>
          <w:tcPr>
            <w:cnfStyle w:val="001000000000" w:firstRow="0" w:lastRow="0" w:firstColumn="1" w:lastColumn="0" w:oddVBand="0" w:evenVBand="0" w:oddHBand="0" w:evenHBand="0" w:firstRowFirstColumn="0" w:firstRowLastColumn="0" w:lastRowFirstColumn="0" w:lastRowLastColumn="0"/>
            <w:tcW w:w="974" w:type="dxa"/>
          </w:tcPr>
          <w:p w14:paraId="27210325" w14:textId="77777777" w:rsidR="00C372DF" w:rsidRPr="00392E0D" w:rsidRDefault="00C372DF" w:rsidP="005274AC">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61" w:type="dxa"/>
          </w:tcPr>
          <w:p w14:paraId="388261FB"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211,806</w:t>
            </w:r>
          </w:p>
        </w:tc>
        <w:tc>
          <w:tcPr>
            <w:tcW w:w="1562" w:type="dxa"/>
          </w:tcPr>
          <w:p w14:paraId="7CF5B538"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77.3</w:t>
            </w:r>
          </w:p>
        </w:tc>
        <w:tc>
          <w:tcPr>
            <w:tcW w:w="1561" w:type="dxa"/>
          </w:tcPr>
          <w:p w14:paraId="793619C7"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36,637</w:t>
            </w:r>
          </w:p>
        </w:tc>
        <w:tc>
          <w:tcPr>
            <w:tcW w:w="1562" w:type="dxa"/>
          </w:tcPr>
          <w:p w14:paraId="2B87F1FD"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w:t>
            </w:r>
          </w:p>
        </w:tc>
        <w:tc>
          <w:tcPr>
            <w:tcW w:w="1561" w:type="dxa"/>
          </w:tcPr>
          <w:p w14:paraId="195B32C8"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25,479</w:t>
            </w:r>
          </w:p>
        </w:tc>
        <w:tc>
          <w:tcPr>
            <w:tcW w:w="1562" w:type="dxa"/>
          </w:tcPr>
          <w:p w14:paraId="5AB7DB27"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w:t>
            </w:r>
          </w:p>
        </w:tc>
      </w:tr>
      <w:tr w:rsidR="00C372DF" w:rsidRPr="00392E0D" w14:paraId="62857700" w14:textId="77777777" w:rsidTr="005274AC">
        <w:trPr>
          <w:trHeight w:val="287"/>
          <w:tblHeader/>
        </w:trPr>
        <w:tc>
          <w:tcPr>
            <w:cnfStyle w:val="001000000000" w:firstRow="0" w:lastRow="0" w:firstColumn="1" w:lastColumn="0" w:oddVBand="0" w:evenVBand="0" w:oddHBand="0" w:evenHBand="0" w:firstRowFirstColumn="0" w:firstRowLastColumn="0" w:lastRowFirstColumn="0" w:lastRowLastColumn="0"/>
            <w:tcW w:w="974" w:type="dxa"/>
          </w:tcPr>
          <w:p w14:paraId="130E7E3F" w14:textId="77777777" w:rsidR="00C372DF" w:rsidRPr="00392E0D" w:rsidRDefault="00C372DF" w:rsidP="005274AC">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61" w:type="dxa"/>
          </w:tcPr>
          <w:p w14:paraId="2E0DF7DA"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221,855</w:t>
            </w:r>
          </w:p>
        </w:tc>
        <w:tc>
          <w:tcPr>
            <w:tcW w:w="1562" w:type="dxa"/>
          </w:tcPr>
          <w:p w14:paraId="68EA2C2D"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77.3</w:t>
            </w:r>
          </w:p>
        </w:tc>
        <w:tc>
          <w:tcPr>
            <w:tcW w:w="1561" w:type="dxa"/>
          </w:tcPr>
          <w:p w14:paraId="7AADAD36"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37,347</w:t>
            </w:r>
          </w:p>
        </w:tc>
        <w:tc>
          <w:tcPr>
            <w:tcW w:w="1562" w:type="dxa"/>
          </w:tcPr>
          <w:p w14:paraId="73DADBE9"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w:t>
            </w:r>
          </w:p>
        </w:tc>
        <w:tc>
          <w:tcPr>
            <w:tcW w:w="1561" w:type="dxa"/>
          </w:tcPr>
          <w:p w14:paraId="2E337E0B"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27,711</w:t>
            </w:r>
          </w:p>
        </w:tc>
        <w:tc>
          <w:tcPr>
            <w:tcW w:w="1562" w:type="dxa"/>
          </w:tcPr>
          <w:p w14:paraId="08774457"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w:t>
            </w:r>
          </w:p>
        </w:tc>
      </w:tr>
      <w:tr w:rsidR="00C372DF" w:rsidRPr="00392E0D" w14:paraId="499EEE8D" w14:textId="77777777" w:rsidTr="005274AC">
        <w:trPr>
          <w:trHeight w:val="287"/>
          <w:tblHeader/>
        </w:trPr>
        <w:tc>
          <w:tcPr>
            <w:cnfStyle w:val="001000000000" w:firstRow="0" w:lastRow="0" w:firstColumn="1" w:lastColumn="0" w:oddVBand="0" w:evenVBand="0" w:oddHBand="0" w:evenHBand="0" w:firstRowFirstColumn="0" w:firstRowLastColumn="0" w:lastRowFirstColumn="0" w:lastRowLastColumn="0"/>
            <w:tcW w:w="974" w:type="dxa"/>
          </w:tcPr>
          <w:p w14:paraId="35331A16" w14:textId="77777777" w:rsidR="00C372DF" w:rsidRPr="00392E0D" w:rsidRDefault="00C372DF" w:rsidP="005274AC">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61" w:type="dxa"/>
          </w:tcPr>
          <w:p w14:paraId="047C84BA"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229,542</w:t>
            </w:r>
          </w:p>
        </w:tc>
        <w:tc>
          <w:tcPr>
            <w:tcW w:w="1562" w:type="dxa"/>
          </w:tcPr>
          <w:p w14:paraId="37FC9908"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78.1</w:t>
            </w:r>
          </w:p>
        </w:tc>
        <w:tc>
          <w:tcPr>
            <w:tcW w:w="1561" w:type="dxa"/>
          </w:tcPr>
          <w:p w14:paraId="708789FE"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36,105</w:t>
            </w:r>
          </w:p>
        </w:tc>
        <w:tc>
          <w:tcPr>
            <w:tcW w:w="1562" w:type="dxa"/>
          </w:tcPr>
          <w:p w14:paraId="1AC5B70F"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12.3</w:t>
            </w:r>
          </w:p>
        </w:tc>
        <w:tc>
          <w:tcPr>
            <w:tcW w:w="1561" w:type="dxa"/>
          </w:tcPr>
          <w:p w14:paraId="2E0C6F93"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28,247</w:t>
            </w:r>
          </w:p>
        </w:tc>
        <w:tc>
          <w:tcPr>
            <w:tcW w:w="1562" w:type="dxa"/>
          </w:tcPr>
          <w:p w14:paraId="2E212BED"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w:t>
            </w:r>
          </w:p>
        </w:tc>
      </w:tr>
      <w:tr w:rsidR="00C372DF" w:rsidRPr="00392E0D" w14:paraId="629C4115" w14:textId="77777777" w:rsidTr="005274AC">
        <w:trPr>
          <w:trHeight w:val="287"/>
          <w:tblHeader/>
        </w:trPr>
        <w:tc>
          <w:tcPr>
            <w:cnfStyle w:val="001000000000" w:firstRow="0" w:lastRow="0" w:firstColumn="1" w:lastColumn="0" w:oddVBand="0" w:evenVBand="0" w:oddHBand="0" w:evenHBand="0" w:firstRowFirstColumn="0" w:firstRowLastColumn="0" w:lastRowFirstColumn="0" w:lastRowLastColumn="0"/>
            <w:tcW w:w="974" w:type="dxa"/>
          </w:tcPr>
          <w:p w14:paraId="71326DB0" w14:textId="77777777" w:rsidR="00C372DF" w:rsidRPr="00392E0D" w:rsidRDefault="00C372DF" w:rsidP="005274AC">
            <w:pPr>
              <w:widowControl/>
              <w:adjustRightInd w:val="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61" w:type="dxa"/>
          </w:tcPr>
          <w:p w14:paraId="36A6EA4E"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226,006</w:t>
            </w:r>
          </w:p>
        </w:tc>
        <w:tc>
          <w:tcPr>
            <w:tcW w:w="1562" w:type="dxa"/>
          </w:tcPr>
          <w:p w14:paraId="3C77856F"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78.5</w:t>
            </w:r>
          </w:p>
        </w:tc>
        <w:tc>
          <w:tcPr>
            <w:tcW w:w="1561" w:type="dxa"/>
          </w:tcPr>
          <w:p w14:paraId="5046B7A8"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33,677</w:t>
            </w:r>
          </w:p>
        </w:tc>
        <w:tc>
          <w:tcPr>
            <w:tcW w:w="1562" w:type="dxa"/>
          </w:tcPr>
          <w:p w14:paraId="44009B0C"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11.7</w:t>
            </w:r>
          </w:p>
        </w:tc>
        <w:tc>
          <w:tcPr>
            <w:tcW w:w="1561" w:type="dxa"/>
          </w:tcPr>
          <w:p w14:paraId="6648EE3A"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28,341</w:t>
            </w:r>
          </w:p>
        </w:tc>
        <w:tc>
          <w:tcPr>
            <w:tcW w:w="1562" w:type="dxa"/>
          </w:tcPr>
          <w:p w14:paraId="16E8233B" w14:textId="77777777" w:rsidR="00C372DF" w:rsidRPr="00392E0D" w:rsidRDefault="00C372DF" w:rsidP="005274AC">
            <w:pPr>
              <w:widowControl/>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w:t>
            </w:r>
          </w:p>
        </w:tc>
      </w:tr>
    </w:tbl>
    <w:p w14:paraId="1F79BABE" w14:textId="7F80F8AF" w:rsidR="00C372DF" w:rsidRPr="00392E0D" w:rsidRDefault="00C372DF" w:rsidP="00C372DF">
      <w:pPr>
        <w:pStyle w:val="Caption"/>
        <w:rPr>
          <w:rFonts w:eastAsiaTheme="minorHAnsi" w:cs="Arial"/>
          <w:sz w:val="17"/>
          <w:szCs w:val="17"/>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w:t>
      </w:r>
      <w:r w:rsidRPr="00392E0D">
        <w:rPr>
          <w:rFonts w:cs="Arial"/>
        </w:rPr>
        <w:fldChar w:fldCharType="end"/>
      </w:r>
      <w:r w:rsidRPr="00392E0D">
        <w:rPr>
          <w:rFonts w:cs="Arial"/>
        </w:rPr>
        <w:tab/>
      </w:r>
      <w:r w:rsidRPr="00392E0D">
        <w:rPr>
          <w:rFonts w:eastAsiaTheme="minorHAnsi" w:cs="Arial"/>
          <w:lang w:val="en-AU"/>
        </w:rPr>
        <w:t xml:space="preserve">National trends for </w:t>
      </w:r>
      <w:proofErr w:type="gramStart"/>
      <w:r w:rsidRPr="00392E0D">
        <w:rPr>
          <w:rFonts w:eastAsiaTheme="minorHAnsi" w:cs="Arial"/>
          <w:lang w:val="en-AU"/>
        </w:rPr>
        <w:t>Social</w:t>
      </w:r>
      <w:proofErr w:type="gramEnd"/>
      <w:r w:rsidRPr="00392E0D">
        <w:rPr>
          <w:rFonts w:eastAsiaTheme="minorHAnsi" w:cs="Arial"/>
          <w:lang w:val="en-AU"/>
        </w:rPr>
        <w:t xml:space="preserve"> competence domain, all collections</w:t>
      </w:r>
    </w:p>
    <w:tbl>
      <w:tblPr>
        <w:tblStyle w:val="TableGrid"/>
        <w:tblW w:w="10343" w:type="dxa"/>
        <w:tblLayout w:type="fixed"/>
        <w:tblLook w:val="0020" w:firstRow="1" w:lastRow="0" w:firstColumn="0" w:lastColumn="0" w:noHBand="0" w:noVBand="0"/>
      </w:tblPr>
      <w:tblGrid>
        <w:gridCol w:w="974"/>
        <w:gridCol w:w="1561"/>
        <w:gridCol w:w="1562"/>
        <w:gridCol w:w="1561"/>
        <w:gridCol w:w="1562"/>
        <w:gridCol w:w="1561"/>
        <w:gridCol w:w="1562"/>
      </w:tblGrid>
      <w:tr w:rsidR="00C372DF" w:rsidRPr="00392E0D" w14:paraId="35DE1237" w14:textId="77777777" w:rsidTr="005274AC">
        <w:trPr>
          <w:trHeight w:val="287"/>
          <w:tblHeader/>
        </w:trPr>
        <w:tc>
          <w:tcPr>
            <w:tcW w:w="974" w:type="dxa"/>
          </w:tcPr>
          <w:p w14:paraId="1BFDC505" w14:textId="77777777" w:rsidR="00C372DF" w:rsidRPr="00392E0D" w:rsidRDefault="00C372DF" w:rsidP="005274AC">
            <w:pPr>
              <w:widowControl/>
              <w:adjustRightInd w:val="0"/>
              <w:rPr>
                <w:rFonts w:ascii="Arial" w:eastAsiaTheme="minorHAnsi" w:hAnsi="Arial" w:cs="Arial"/>
                <w:color w:val="000000"/>
                <w:sz w:val="20"/>
                <w:szCs w:val="20"/>
                <w:lang w:val="en-AU"/>
              </w:rPr>
            </w:pPr>
          </w:p>
        </w:tc>
        <w:tc>
          <w:tcPr>
            <w:tcW w:w="1561" w:type="dxa"/>
          </w:tcPr>
          <w:p w14:paraId="717C1AEB" w14:textId="3BB3878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62" w:type="dxa"/>
          </w:tcPr>
          <w:p w14:paraId="41219BDD"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61" w:type="dxa"/>
          </w:tcPr>
          <w:p w14:paraId="416535B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62" w:type="dxa"/>
          </w:tcPr>
          <w:p w14:paraId="62CB864C"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61" w:type="dxa"/>
          </w:tcPr>
          <w:p w14:paraId="34EC0E5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562" w:type="dxa"/>
          </w:tcPr>
          <w:p w14:paraId="5EEFF02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C372DF" w:rsidRPr="00392E0D" w14:paraId="5EA50ADD" w14:textId="77777777" w:rsidTr="005274AC">
        <w:trPr>
          <w:trHeight w:val="287"/>
        </w:trPr>
        <w:tc>
          <w:tcPr>
            <w:tcW w:w="974" w:type="dxa"/>
          </w:tcPr>
          <w:p w14:paraId="236DAB56"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61" w:type="dxa"/>
          </w:tcPr>
          <w:p w14:paraId="4152D689"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186,265</w:t>
            </w:r>
          </w:p>
        </w:tc>
        <w:tc>
          <w:tcPr>
            <w:tcW w:w="1562" w:type="dxa"/>
          </w:tcPr>
          <w:p w14:paraId="21FD2CD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75.4</w:t>
            </w:r>
          </w:p>
        </w:tc>
        <w:tc>
          <w:tcPr>
            <w:tcW w:w="1561" w:type="dxa"/>
          </w:tcPr>
          <w:p w14:paraId="08AF3E75"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37,499</w:t>
            </w:r>
          </w:p>
        </w:tc>
        <w:tc>
          <w:tcPr>
            <w:tcW w:w="1562" w:type="dxa"/>
          </w:tcPr>
          <w:p w14:paraId="45FBC101"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15.2</w:t>
            </w:r>
          </w:p>
        </w:tc>
        <w:tc>
          <w:tcPr>
            <w:tcW w:w="1561" w:type="dxa"/>
          </w:tcPr>
          <w:p w14:paraId="66282D89"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23,425</w:t>
            </w:r>
          </w:p>
        </w:tc>
        <w:tc>
          <w:tcPr>
            <w:tcW w:w="1562" w:type="dxa"/>
          </w:tcPr>
          <w:p w14:paraId="2E67C95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w:t>
            </w:r>
          </w:p>
        </w:tc>
      </w:tr>
      <w:tr w:rsidR="00C372DF" w:rsidRPr="00392E0D" w14:paraId="0A7086C8" w14:textId="77777777" w:rsidTr="005274AC">
        <w:trPr>
          <w:trHeight w:val="287"/>
        </w:trPr>
        <w:tc>
          <w:tcPr>
            <w:tcW w:w="974" w:type="dxa"/>
          </w:tcPr>
          <w:p w14:paraId="7C9EB9D1"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61" w:type="dxa"/>
          </w:tcPr>
          <w:p w14:paraId="704B7897"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209,149</w:t>
            </w:r>
          </w:p>
        </w:tc>
        <w:tc>
          <w:tcPr>
            <w:tcW w:w="1562" w:type="dxa"/>
          </w:tcPr>
          <w:p w14:paraId="1A5E27D4"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76.5</w:t>
            </w:r>
          </w:p>
        </w:tc>
        <w:tc>
          <w:tcPr>
            <w:tcW w:w="1561" w:type="dxa"/>
          </w:tcPr>
          <w:p w14:paraId="292AA3F1"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39,018</w:t>
            </w:r>
          </w:p>
        </w:tc>
        <w:tc>
          <w:tcPr>
            <w:tcW w:w="1562" w:type="dxa"/>
          </w:tcPr>
          <w:p w14:paraId="63E029AB"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14.3</w:t>
            </w:r>
          </w:p>
        </w:tc>
        <w:tc>
          <w:tcPr>
            <w:tcW w:w="1561" w:type="dxa"/>
          </w:tcPr>
          <w:p w14:paraId="29AB6C26"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25,367</w:t>
            </w:r>
          </w:p>
        </w:tc>
        <w:tc>
          <w:tcPr>
            <w:tcW w:w="1562" w:type="dxa"/>
          </w:tcPr>
          <w:p w14:paraId="3060BE47"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w:t>
            </w:r>
          </w:p>
        </w:tc>
      </w:tr>
      <w:tr w:rsidR="00C372DF" w:rsidRPr="00392E0D" w14:paraId="4E6DF0D1" w14:textId="77777777" w:rsidTr="005274AC">
        <w:trPr>
          <w:trHeight w:val="287"/>
        </w:trPr>
        <w:tc>
          <w:tcPr>
            <w:tcW w:w="974" w:type="dxa"/>
          </w:tcPr>
          <w:p w14:paraId="19EF6A18"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61" w:type="dxa"/>
          </w:tcPr>
          <w:p w14:paraId="10C5E07B"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215,605</w:t>
            </w:r>
          </w:p>
        </w:tc>
        <w:tc>
          <w:tcPr>
            <w:tcW w:w="1562" w:type="dxa"/>
          </w:tcPr>
          <w:p w14:paraId="12418649"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75.2</w:t>
            </w:r>
          </w:p>
        </w:tc>
        <w:tc>
          <w:tcPr>
            <w:tcW w:w="1561" w:type="dxa"/>
          </w:tcPr>
          <w:p w14:paraId="76C94973"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42,892</w:t>
            </w:r>
          </w:p>
        </w:tc>
        <w:tc>
          <w:tcPr>
            <w:tcW w:w="1562" w:type="dxa"/>
          </w:tcPr>
          <w:p w14:paraId="2313C40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w:t>
            </w:r>
          </w:p>
        </w:tc>
        <w:tc>
          <w:tcPr>
            <w:tcW w:w="1561" w:type="dxa"/>
          </w:tcPr>
          <w:p w14:paraId="4855098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28,351</w:t>
            </w:r>
          </w:p>
        </w:tc>
        <w:tc>
          <w:tcPr>
            <w:tcW w:w="1562" w:type="dxa"/>
          </w:tcPr>
          <w:p w14:paraId="015C5678"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r>
      <w:tr w:rsidR="00C372DF" w:rsidRPr="00392E0D" w14:paraId="5A483028" w14:textId="77777777" w:rsidTr="005274AC">
        <w:trPr>
          <w:trHeight w:val="287"/>
        </w:trPr>
        <w:tc>
          <w:tcPr>
            <w:tcW w:w="974" w:type="dxa"/>
          </w:tcPr>
          <w:p w14:paraId="6ABC56B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61" w:type="dxa"/>
          </w:tcPr>
          <w:p w14:paraId="5658B401"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222,771</w:t>
            </w:r>
          </w:p>
        </w:tc>
        <w:tc>
          <w:tcPr>
            <w:tcW w:w="1562" w:type="dxa"/>
          </w:tcPr>
          <w:p w14:paraId="23FE634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75.8</w:t>
            </w:r>
          </w:p>
        </w:tc>
        <w:tc>
          <w:tcPr>
            <w:tcW w:w="1561" w:type="dxa"/>
          </w:tcPr>
          <w:p w14:paraId="7134721D"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42,434</w:t>
            </w:r>
          </w:p>
        </w:tc>
        <w:tc>
          <w:tcPr>
            <w:tcW w:w="1562" w:type="dxa"/>
          </w:tcPr>
          <w:p w14:paraId="040AA705"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14.4</w:t>
            </w:r>
          </w:p>
        </w:tc>
        <w:tc>
          <w:tcPr>
            <w:tcW w:w="1561" w:type="dxa"/>
          </w:tcPr>
          <w:p w14:paraId="27B60E42"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28,673</w:t>
            </w:r>
          </w:p>
        </w:tc>
        <w:tc>
          <w:tcPr>
            <w:tcW w:w="1562" w:type="dxa"/>
          </w:tcPr>
          <w:p w14:paraId="0E4DD099"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w:t>
            </w:r>
          </w:p>
        </w:tc>
      </w:tr>
      <w:tr w:rsidR="00C372DF" w:rsidRPr="00392E0D" w14:paraId="5CFED17C" w14:textId="77777777" w:rsidTr="005274AC">
        <w:trPr>
          <w:trHeight w:val="311"/>
        </w:trPr>
        <w:tc>
          <w:tcPr>
            <w:tcW w:w="974" w:type="dxa"/>
          </w:tcPr>
          <w:p w14:paraId="1E6C5FAD"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61" w:type="dxa"/>
          </w:tcPr>
          <w:p w14:paraId="3E9F2DF7"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218,679</w:t>
            </w:r>
          </w:p>
        </w:tc>
        <w:tc>
          <w:tcPr>
            <w:tcW w:w="1562" w:type="dxa"/>
          </w:tcPr>
          <w:p w14:paraId="7BB32675"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75.9</w:t>
            </w:r>
          </w:p>
        </w:tc>
        <w:tc>
          <w:tcPr>
            <w:tcW w:w="1561" w:type="dxa"/>
          </w:tcPr>
          <w:p w14:paraId="22D74C85"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41,528</w:t>
            </w:r>
          </w:p>
        </w:tc>
        <w:tc>
          <w:tcPr>
            <w:tcW w:w="1562" w:type="dxa"/>
          </w:tcPr>
          <w:p w14:paraId="389F4117"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14.4</w:t>
            </w:r>
          </w:p>
        </w:tc>
        <w:tc>
          <w:tcPr>
            <w:tcW w:w="1561" w:type="dxa"/>
          </w:tcPr>
          <w:p w14:paraId="5090E0BA"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27,788</w:t>
            </w:r>
          </w:p>
        </w:tc>
        <w:tc>
          <w:tcPr>
            <w:tcW w:w="1562" w:type="dxa"/>
          </w:tcPr>
          <w:p w14:paraId="610A2373"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w:t>
            </w:r>
          </w:p>
        </w:tc>
      </w:tr>
    </w:tbl>
    <w:p w14:paraId="36B772AA" w14:textId="3386C35B" w:rsidR="00C372DF" w:rsidRPr="00392E0D" w:rsidRDefault="00C372DF" w:rsidP="00C372DF">
      <w:pPr>
        <w:pStyle w:val="Caption"/>
        <w:rPr>
          <w:rFonts w:eastAsiaTheme="minorHAnsi" w:cs="Arial"/>
          <w:sz w:val="17"/>
          <w:szCs w:val="17"/>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w:t>
      </w:r>
      <w:r w:rsidRPr="00392E0D">
        <w:rPr>
          <w:rFonts w:cs="Arial"/>
        </w:rPr>
        <w:fldChar w:fldCharType="end"/>
      </w:r>
      <w:r w:rsidRPr="00392E0D">
        <w:rPr>
          <w:rFonts w:cs="Arial"/>
        </w:rPr>
        <w:tab/>
      </w:r>
      <w:r w:rsidRPr="00392E0D">
        <w:rPr>
          <w:rFonts w:eastAsiaTheme="minorHAnsi" w:cs="Arial"/>
          <w:lang w:val="en-AU"/>
        </w:rPr>
        <w:t>National trends for Emotional maturity domain, all collections</w:t>
      </w:r>
    </w:p>
    <w:tbl>
      <w:tblPr>
        <w:tblStyle w:val="TableGrid"/>
        <w:tblW w:w="10343" w:type="dxa"/>
        <w:tblLayout w:type="fixed"/>
        <w:tblLook w:val="0020" w:firstRow="1" w:lastRow="0" w:firstColumn="0" w:lastColumn="0" w:noHBand="0" w:noVBand="0"/>
      </w:tblPr>
      <w:tblGrid>
        <w:gridCol w:w="974"/>
        <w:gridCol w:w="1561"/>
        <w:gridCol w:w="1562"/>
        <w:gridCol w:w="1561"/>
        <w:gridCol w:w="1562"/>
        <w:gridCol w:w="1561"/>
        <w:gridCol w:w="1562"/>
      </w:tblGrid>
      <w:tr w:rsidR="00C372DF" w:rsidRPr="00392E0D" w14:paraId="6D6B48ED" w14:textId="77777777" w:rsidTr="005274AC">
        <w:trPr>
          <w:trHeight w:val="287"/>
          <w:tblHeader/>
        </w:trPr>
        <w:tc>
          <w:tcPr>
            <w:tcW w:w="974" w:type="dxa"/>
          </w:tcPr>
          <w:p w14:paraId="36B6BDD3" w14:textId="77777777" w:rsidR="00C372DF" w:rsidRPr="00392E0D" w:rsidRDefault="00C372DF" w:rsidP="005274AC">
            <w:pPr>
              <w:widowControl/>
              <w:adjustRightInd w:val="0"/>
              <w:rPr>
                <w:rFonts w:ascii="Arial" w:eastAsiaTheme="minorHAnsi" w:hAnsi="Arial" w:cs="Arial"/>
                <w:color w:val="000000"/>
                <w:sz w:val="20"/>
                <w:szCs w:val="20"/>
                <w:lang w:val="en-AU"/>
              </w:rPr>
            </w:pPr>
          </w:p>
        </w:tc>
        <w:tc>
          <w:tcPr>
            <w:tcW w:w="1561" w:type="dxa"/>
          </w:tcPr>
          <w:p w14:paraId="1B9D07D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62" w:type="dxa"/>
          </w:tcPr>
          <w:p w14:paraId="72439CAC"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61" w:type="dxa"/>
          </w:tcPr>
          <w:p w14:paraId="26DE6833"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62" w:type="dxa"/>
          </w:tcPr>
          <w:p w14:paraId="3D502DCA"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61" w:type="dxa"/>
          </w:tcPr>
          <w:p w14:paraId="47F9803D"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562" w:type="dxa"/>
          </w:tcPr>
          <w:p w14:paraId="49B9868A"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C372DF" w:rsidRPr="00392E0D" w14:paraId="21FAD747" w14:textId="77777777" w:rsidTr="005274AC">
        <w:trPr>
          <w:trHeight w:val="287"/>
        </w:trPr>
        <w:tc>
          <w:tcPr>
            <w:tcW w:w="974" w:type="dxa"/>
          </w:tcPr>
          <w:p w14:paraId="47D9A269"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61" w:type="dxa"/>
          </w:tcPr>
          <w:p w14:paraId="033868CB"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186,210</w:t>
            </w:r>
          </w:p>
        </w:tc>
        <w:tc>
          <w:tcPr>
            <w:tcW w:w="1562" w:type="dxa"/>
          </w:tcPr>
          <w:p w14:paraId="2618F4A3"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75.6</w:t>
            </w:r>
          </w:p>
        </w:tc>
        <w:tc>
          <w:tcPr>
            <w:tcW w:w="1561" w:type="dxa"/>
          </w:tcPr>
          <w:p w14:paraId="266DD03C"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38,160</w:t>
            </w:r>
          </w:p>
        </w:tc>
        <w:tc>
          <w:tcPr>
            <w:tcW w:w="1562" w:type="dxa"/>
          </w:tcPr>
          <w:p w14:paraId="5DDA4F0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w:t>
            </w:r>
          </w:p>
        </w:tc>
        <w:tc>
          <w:tcPr>
            <w:tcW w:w="1561" w:type="dxa"/>
          </w:tcPr>
          <w:p w14:paraId="1B17D44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21,827</w:t>
            </w:r>
          </w:p>
        </w:tc>
        <w:tc>
          <w:tcPr>
            <w:tcW w:w="1562" w:type="dxa"/>
          </w:tcPr>
          <w:p w14:paraId="7C3896B7"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r>
      <w:tr w:rsidR="00C372DF" w:rsidRPr="00392E0D" w14:paraId="24B686D9" w14:textId="77777777" w:rsidTr="005274AC">
        <w:trPr>
          <w:trHeight w:val="287"/>
        </w:trPr>
        <w:tc>
          <w:tcPr>
            <w:tcW w:w="974" w:type="dxa"/>
          </w:tcPr>
          <w:p w14:paraId="2F218EB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61" w:type="dxa"/>
          </w:tcPr>
          <w:p w14:paraId="356DE198"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213,059</w:t>
            </w:r>
          </w:p>
        </w:tc>
        <w:tc>
          <w:tcPr>
            <w:tcW w:w="1562" w:type="dxa"/>
          </w:tcPr>
          <w:p w14:paraId="53746480"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78.1</w:t>
            </w:r>
          </w:p>
        </w:tc>
        <w:tc>
          <w:tcPr>
            <w:tcW w:w="1561" w:type="dxa"/>
          </w:tcPr>
          <w:p w14:paraId="33406C00"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38,778</w:t>
            </w:r>
          </w:p>
        </w:tc>
        <w:tc>
          <w:tcPr>
            <w:tcW w:w="1562" w:type="dxa"/>
          </w:tcPr>
          <w:p w14:paraId="497C0C3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14.2</w:t>
            </w:r>
          </w:p>
        </w:tc>
        <w:tc>
          <w:tcPr>
            <w:tcW w:w="1561" w:type="dxa"/>
          </w:tcPr>
          <w:p w14:paraId="36EEBB55"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20,845</w:t>
            </w:r>
          </w:p>
        </w:tc>
        <w:tc>
          <w:tcPr>
            <w:tcW w:w="1562" w:type="dxa"/>
          </w:tcPr>
          <w:p w14:paraId="7F957BAD"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w:t>
            </w:r>
          </w:p>
        </w:tc>
      </w:tr>
      <w:tr w:rsidR="00C372DF" w:rsidRPr="00392E0D" w14:paraId="6BA741DA" w14:textId="77777777" w:rsidTr="005274AC">
        <w:trPr>
          <w:trHeight w:val="287"/>
        </w:trPr>
        <w:tc>
          <w:tcPr>
            <w:tcW w:w="974" w:type="dxa"/>
          </w:tcPr>
          <w:p w14:paraId="095FF4F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61" w:type="dxa"/>
          </w:tcPr>
          <w:p w14:paraId="41469D06"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218,341</w:t>
            </w:r>
          </w:p>
        </w:tc>
        <w:tc>
          <w:tcPr>
            <w:tcW w:w="1562" w:type="dxa"/>
          </w:tcPr>
          <w:p w14:paraId="4D02C678"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76.4</w:t>
            </w:r>
          </w:p>
        </w:tc>
        <w:tc>
          <w:tcPr>
            <w:tcW w:w="1561" w:type="dxa"/>
          </w:tcPr>
          <w:p w14:paraId="7E84DAE2"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43,594</w:t>
            </w:r>
          </w:p>
        </w:tc>
        <w:tc>
          <w:tcPr>
            <w:tcW w:w="1562" w:type="dxa"/>
          </w:tcPr>
          <w:p w14:paraId="49CE0284"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15.3</w:t>
            </w:r>
          </w:p>
        </w:tc>
        <w:tc>
          <w:tcPr>
            <w:tcW w:w="1561" w:type="dxa"/>
          </w:tcPr>
          <w:p w14:paraId="7F4369E0"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23,866</w:t>
            </w:r>
          </w:p>
        </w:tc>
        <w:tc>
          <w:tcPr>
            <w:tcW w:w="1562" w:type="dxa"/>
          </w:tcPr>
          <w:p w14:paraId="5841B41B"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w:t>
            </w:r>
          </w:p>
        </w:tc>
      </w:tr>
      <w:tr w:rsidR="00C372DF" w:rsidRPr="00392E0D" w14:paraId="0D864B29" w14:textId="77777777" w:rsidTr="005274AC">
        <w:trPr>
          <w:trHeight w:val="287"/>
        </w:trPr>
        <w:tc>
          <w:tcPr>
            <w:tcW w:w="974" w:type="dxa"/>
          </w:tcPr>
          <w:p w14:paraId="0A96446E"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61" w:type="dxa"/>
          </w:tcPr>
          <w:p w14:paraId="41CBE9BB"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225,739</w:t>
            </w:r>
          </w:p>
        </w:tc>
        <w:tc>
          <w:tcPr>
            <w:tcW w:w="1562" w:type="dxa"/>
          </w:tcPr>
          <w:p w14:paraId="46D2867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77.1</w:t>
            </w:r>
          </w:p>
        </w:tc>
        <w:tc>
          <w:tcPr>
            <w:tcW w:w="1561" w:type="dxa"/>
          </w:tcPr>
          <w:p w14:paraId="157E8EA1"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42,390</w:t>
            </w:r>
          </w:p>
        </w:tc>
        <w:tc>
          <w:tcPr>
            <w:tcW w:w="1562" w:type="dxa"/>
          </w:tcPr>
          <w:p w14:paraId="33327DD2"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14.5</w:t>
            </w:r>
          </w:p>
        </w:tc>
        <w:tc>
          <w:tcPr>
            <w:tcW w:w="1561" w:type="dxa"/>
          </w:tcPr>
          <w:p w14:paraId="3311B822"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24,677</w:t>
            </w:r>
          </w:p>
        </w:tc>
        <w:tc>
          <w:tcPr>
            <w:tcW w:w="1562" w:type="dxa"/>
          </w:tcPr>
          <w:p w14:paraId="49D1B7D5"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w:t>
            </w:r>
          </w:p>
        </w:tc>
      </w:tr>
      <w:tr w:rsidR="00C372DF" w:rsidRPr="00392E0D" w14:paraId="086EE09C" w14:textId="77777777" w:rsidTr="005274AC">
        <w:trPr>
          <w:trHeight w:val="287"/>
        </w:trPr>
        <w:tc>
          <w:tcPr>
            <w:tcW w:w="974" w:type="dxa"/>
          </w:tcPr>
          <w:p w14:paraId="73FE2322"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61" w:type="dxa"/>
          </w:tcPr>
          <w:p w14:paraId="7796B4E0"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221,057</w:t>
            </w:r>
          </w:p>
        </w:tc>
        <w:tc>
          <w:tcPr>
            <w:tcW w:w="1562" w:type="dxa"/>
          </w:tcPr>
          <w:p w14:paraId="6BA5FA5F"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77.0</w:t>
            </w:r>
          </w:p>
        </w:tc>
        <w:tc>
          <w:tcPr>
            <w:tcW w:w="1561" w:type="dxa"/>
          </w:tcPr>
          <w:p w14:paraId="5982F83C"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41,667</w:t>
            </w:r>
          </w:p>
        </w:tc>
        <w:tc>
          <w:tcPr>
            <w:tcW w:w="1562" w:type="dxa"/>
          </w:tcPr>
          <w:p w14:paraId="1079FB07"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14.5</w:t>
            </w:r>
          </w:p>
        </w:tc>
        <w:tc>
          <w:tcPr>
            <w:tcW w:w="1561" w:type="dxa"/>
          </w:tcPr>
          <w:p w14:paraId="329FFE3B"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24,271</w:t>
            </w:r>
          </w:p>
        </w:tc>
        <w:tc>
          <w:tcPr>
            <w:tcW w:w="1562" w:type="dxa"/>
          </w:tcPr>
          <w:p w14:paraId="3EE8EA3C" w14:textId="77777777" w:rsidR="00C372DF" w:rsidRPr="00392E0D" w:rsidRDefault="00C372DF" w:rsidP="005274AC">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w:t>
            </w:r>
          </w:p>
        </w:tc>
      </w:tr>
    </w:tbl>
    <w:p w14:paraId="20AB67DD" w14:textId="77777777" w:rsidR="00C372DF" w:rsidRPr="00392E0D" w:rsidRDefault="00C372DF" w:rsidP="00C372DF">
      <w:pPr>
        <w:widowControl/>
        <w:autoSpaceDE/>
        <w:autoSpaceDN/>
        <w:rPr>
          <w:rFonts w:ascii="Arial" w:eastAsia="Times New Roman" w:hAnsi="Arial" w:cs="Arial"/>
          <w:color w:val="000000" w:themeColor="text1"/>
          <w:szCs w:val="18"/>
        </w:rPr>
      </w:pPr>
      <w:r w:rsidRPr="00392E0D">
        <w:rPr>
          <w:rFonts w:ascii="Arial" w:hAnsi="Arial" w:cs="Arial"/>
        </w:rPr>
        <w:br w:type="page"/>
      </w:r>
    </w:p>
    <w:p w14:paraId="7CD3B948" w14:textId="69D846F6" w:rsidR="006F79BD" w:rsidRPr="00392E0D" w:rsidRDefault="006F79BD" w:rsidP="006F79BD">
      <w:pPr>
        <w:pStyle w:val="Caption"/>
        <w:rPr>
          <w:rFonts w:eastAsiaTheme="minorHAnsi" w:cs="Arial"/>
          <w:sz w:val="17"/>
          <w:szCs w:val="17"/>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w:t>
      </w:r>
      <w:r w:rsidRPr="00392E0D">
        <w:rPr>
          <w:rFonts w:cs="Arial"/>
        </w:rPr>
        <w:fldChar w:fldCharType="end"/>
      </w:r>
      <w:r w:rsidRPr="00392E0D">
        <w:rPr>
          <w:rFonts w:cs="Arial"/>
        </w:rPr>
        <w:tab/>
      </w:r>
      <w:r w:rsidRPr="00392E0D">
        <w:rPr>
          <w:rFonts w:eastAsiaTheme="minorHAnsi" w:cs="Arial"/>
          <w:lang w:val="en-AU"/>
        </w:rPr>
        <w:t>National trends for Language and cognitive skills (school-based) domain, all collections</w:t>
      </w:r>
    </w:p>
    <w:tbl>
      <w:tblPr>
        <w:tblStyle w:val="TableGrid"/>
        <w:tblW w:w="10370" w:type="dxa"/>
        <w:tblLayout w:type="fixed"/>
        <w:tblLook w:val="0020" w:firstRow="1" w:lastRow="0" w:firstColumn="0" w:lastColumn="0" w:noHBand="0" w:noVBand="0"/>
      </w:tblPr>
      <w:tblGrid>
        <w:gridCol w:w="974"/>
        <w:gridCol w:w="1566"/>
        <w:gridCol w:w="1566"/>
        <w:gridCol w:w="1566"/>
        <w:gridCol w:w="1566"/>
        <w:gridCol w:w="1566"/>
        <w:gridCol w:w="1566"/>
      </w:tblGrid>
      <w:tr w:rsidR="006F79BD" w:rsidRPr="00392E0D" w14:paraId="59AD0855" w14:textId="77777777" w:rsidTr="009C0F6A">
        <w:trPr>
          <w:trHeight w:val="287"/>
          <w:tblHeader/>
        </w:trPr>
        <w:tc>
          <w:tcPr>
            <w:tcW w:w="974" w:type="dxa"/>
          </w:tcPr>
          <w:p w14:paraId="6F201F26" w14:textId="77777777" w:rsidR="006F79BD" w:rsidRPr="00392E0D" w:rsidRDefault="006F79BD" w:rsidP="00A50F3B">
            <w:pPr>
              <w:widowControl/>
              <w:adjustRightInd w:val="0"/>
              <w:rPr>
                <w:rFonts w:ascii="Arial" w:eastAsiaTheme="minorHAnsi" w:hAnsi="Arial" w:cs="Arial"/>
                <w:color w:val="000000"/>
                <w:sz w:val="20"/>
                <w:szCs w:val="20"/>
                <w:lang w:val="en-AU"/>
              </w:rPr>
            </w:pPr>
          </w:p>
        </w:tc>
        <w:tc>
          <w:tcPr>
            <w:tcW w:w="1566" w:type="dxa"/>
          </w:tcPr>
          <w:p w14:paraId="3E57ED5D"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66" w:type="dxa"/>
          </w:tcPr>
          <w:p w14:paraId="4E39ECAA"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66" w:type="dxa"/>
          </w:tcPr>
          <w:p w14:paraId="1F391478"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66" w:type="dxa"/>
          </w:tcPr>
          <w:p w14:paraId="6BD309D8"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66" w:type="dxa"/>
          </w:tcPr>
          <w:p w14:paraId="1A2DA3E6"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566" w:type="dxa"/>
          </w:tcPr>
          <w:p w14:paraId="63F56EEB"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6F79BD" w:rsidRPr="00392E0D" w14:paraId="51C1F4C2" w14:textId="77777777" w:rsidTr="00353668">
        <w:trPr>
          <w:trHeight w:val="287"/>
        </w:trPr>
        <w:tc>
          <w:tcPr>
            <w:tcW w:w="974" w:type="dxa"/>
          </w:tcPr>
          <w:p w14:paraId="5E259259"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66" w:type="dxa"/>
          </w:tcPr>
          <w:p w14:paraId="626C48A1"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190,298</w:t>
            </w:r>
          </w:p>
        </w:tc>
        <w:tc>
          <w:tcPr>
            <w:tcW w:w="1566" w:type="dxa"/>
          </w:tcPr>
          <w:p w14:paraId="6F2B42B2"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77.1</w:t>
            </w:r>
          </w:p>
        </w:tc>
        <w:tc>
          <w:tcPr>
            <w:tcW w:w="1566" w:type="dxa"/>
          </w:tcPr>
          <w:p w14:paraId="69AA8A51"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34,579</w:t>
            </w:r>
          </w:p>
        </w:tc>
        <w:tc>
          <w:tcPr>
            <w:tcW w:w="1566" w:type="dxa"/>
          </w:tcPr>
          <w:p w14:paraId="4E8935BE"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14.0</w:t>
            </w:r>
          </w:p>
        </w:tc>
        <w:tc>
          <w:tcPr>
            <w:tcW w:w="1566" w:type="dxa"/>
          </w:tcPr>
          <w:p w14:paraId="00DF9E95"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21,933</w:t>
            </w:r>
          </w:p>
        </w:tc>
        <w:tc>
          <w:tcPr>
            <w:tcW w:w="1566" w:type="dxa"/>
          </w:tcPr>
          <w:p w14:paraId="1DD36477"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r>
      <w:tr w:rsidR="006F79BD" w:rsidRPr="00392E0D" w14:paraId="1D08FF23" w14:textId="77777777" w:rsidTr="00353668">
        <w:trPr>
          <w:trHeight w:val="311"/>
        </w:trPr>
        <w:tc>
          <w:tcPr>
            <w:tcW w:w="974" w:type="dxa"/>
          </w:tcPr>
          <w:p w14:paraId="18D79F6B"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66" w:type="dxa"/>
          </w:tcPr>
          <w:p w14:paraId="230B7B14"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226,260</w:t>
            </w:r>
          </w:p>
        </w:tc>
        <w:tc>
          <w:tcPr>
            <w:tcW w:w="1566" w:type="dxa"/>
          </w:tcPr>
          <w:p w14:paraId="0A7D7261"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82.6</w:t>
            </w:r>
          </w:p>
        </w:tc>
        <w:tc>
          <w:tcPr>
            <w:tcW w:w="1566" w:type="dxa"/>
          </w:tcPr>
          <w:p w14:paraId="0999AAFD"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29,072</w:t>
            </w:r>
          </w:p>
        </w:tc>
        <w:tc>
          <w:tcPr>
            <w:tcW w:w="1566" w:type="dxa"/>
          </w:tcPr>
          <w:p w14:paraId="674164C7"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w:t>
            </w:r>
          </w:p>
        </w:tc>
        <w:tc>
          <w:tcPr>
            <w:tcW w:w="1566" w:type="dxa"/>
          </w:tcPr>
          <w:p w14:paraId="52C42153"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18,564</w:t>
            </w:r>
          </w:p>
        </w:tc>
        <w:tc>
          <w:tcPr>
            <w:tcW w:w="1566" w:type="dxa"/>
          </w:tcPr>
          <w:p w14:paraId="493F50BB"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w:t>
            </w:r>
          </w:p>
        </w:tc>
      </w:tr>
      <w:tr w:rsidR="006F79BD" w:rsidRPr="00392E0D" w14:paraId="2A97CAB9" w14:textId="77777777" w:rsidTr="00353668">
        <w:trPr>
          <w:trHeight w:val="287"/>
        </w:trPr>
        <w:tc>
          <w:tcPr>
            <w:tcW w:w="974" w:type="dxa"/>
          </w:tcPr>
          <w:p w14:paraId="7D309616"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66" w:type="dxa"/>
          </w:tcPr>
          <w:p w14:paraId="4BFAC8EC"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242,518</w:t>
            </w:r>
          </w:p>
        </w:tc>
        <w:tc>
          <w:tcPr>
            <w:tcW w:w="1566" w:type="dxa"/>
          </w:tcPr>
          <w:p w14:paraId="6EFAD42F"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84.6</w:t>
            </w:r>
          </w:p>
        </w:tc>
        <w:tc>
          <w:tcPr>
            <w:tcW w:w="1566" w:type="dxa"/>
          </w:tcPr>
          <w:p w14:paraId="27AAEFBC"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25,597</w:t>
            </w:r>
          </w:p>
        </w:tc>
        <w:tc>
          <w:tcPr>
            <w:tcW w:w="1566" w:type="dxa"/>
          </w:tcPr>
          <w:p w14:paraId="63BBBF0F"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c>
          <w:tcPr>
            <w:tcW w:w="1566" w:type="dxa"/>
          </w:tcPr>
          <w:p w14:paraId="349D9265"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18,533</w:t>
            </w:r>
          </w:p>
        </w:tc>
        <w:tc>
          <w:tcPr>
            <w:tcW w:w="1566" w:type="dxa"/>
          </w:tcPr>
          <w:p w14:paraId="1C05EE68"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w:t>
            </w:r>
          </w:p>
        </w:tc>
      </w:tr>
      <w:tr w:rsidR="006F79BD" w:rsidRPr="00392E0D" w14:paraId="4C511400" w14:textId="77777777" w:rsidTr="00353668">
        <w:trPr>
          <w:trHeight w:val="287"/>
        </w:trPr>
        <w:tc>
          <w:tcPr>
            <w:tcW w:w="974" w:type="dxa"/>
          </w:tcPr>
          <w:p w14:paraId="1C48E4DD"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66" w:type="dxa"/>
          </w:tcPr>
          <w:p w14:paraId="3380BAF7"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247,870</w:t>
            </w:r>
          </w:p>
        </w:tc>
        <w:tc>
          <w:tcPr>
            <w:tcW w:w="1566" w:type="dxa"/>
          </w:tcPr>
          <w:p w14:paraId="6C9176E9"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84.4</w:t>
            </w:r>
          </w:p>
        </w:tc>
        <w:tc>
          <w:tcPr>
            <w:tcW w:w="1566" w:type="dxa"/>
          </w:tcPr>
          <w:p w14:paraId="238BB90A"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26,291</w:t>
            </w:r>
          </w:p>
        </w:tc>
        <w:tc>
          <w:tcPr>
            <w:tcW w:w="1566" w:type="dxa"/>
          </w:tcPr>
          <w:p w14:paraId="424679CB"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w:t>
            </w:r>
          </w:p>
        </w:tc>
        <w:tc>
          <w:tcPr>
            <w:tcW w:w="1566" w:type="dxa"/>
          </w:tcPr>
          <w:p w14:paraId="24BB2D53"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19,417</w:t>
            </w:r>
          </w:p>
        </w:tc>
        <w:tc>
          <w:tcPr>
            <w:tcW w:w="1566" w:type="dxa"/>
          </w:tcPr>
          <w:p w14:paraId="3BC6950E"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w:t>
            </w:r>
          </w:p>
        </w:tc>
      </w:tr>
      <w:tr w:rsidR="006F79BD" w:rsidRPr="00392E0D" w14:paraId="0E9A2A47" w14:textId="77777777" w:rsidTr="00353668">
        <w:trPr>
          <w:trHeight w:val="287"/>
        </w:trPr>
        <w:tc>
          <w:tcPr>
            <w:tcW w:w="974" w:type="dxa"/>
          </w:tcPr>
          <w:p w14:paraId="5D791CA4"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66" w:type="dxa"/>
          </w:tcPr>
          <w:p w14:paraId="0A4C94DA"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237,499</w:t>
            </w:r>
          </w:p>
        </w:tc>
        <w:tc>
          <w:tcPr>
            <w:tcW w:w="1566" w:type="dxa"/>
          </w:tcPr>
          <w:p w14:paraId="36F7176F"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82.6</w:t>
            </w:r>
          </w:p>
        </w:tc>
        <w:tc>
          <w:tcPr>
            <w:tcW w:w="1566" w:type="dxa"/>
          </w:tcPr>
          <w:p w14:paraId="404AC58E"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29,091</w:t>
            </w:r>
          </w:p>
        </w:tc>
        <w:tc>
          <w:tcPr>
            <w:tcW w:w="1566" w:type="dxa"/>
          </w:tcPr>
          <w:p w14:paraId="0F89B653"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566" w:type="dxa"/>
          </w:tcPr>
          <w:p w14:paraId="31244A8C"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21,107</w:t>
            </w:r>
          </w:p>
        </w:tc>
        <w:tc>
          <w:tcPr>
            <w:tcW w:w="1566" w:type="dxa"/>
          </w:tcPr>
          <w:p w14:paraId="584C9FC5"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w:t>
            </w:r>
          </w:p>
        </w:tc>
      </w:tr>
    </w:tbl>
    <w:p w14:paraId="642A11B3" w14:textId="0BA6A76D" w:rsidR="00353668" w:rsidRPr="00392E0D" w:rsidRDefault="00353668" w:rsidP="00353668">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w:t>
      </w:r>
      <w:r w:rsidRPr="00392E0D">
        <w:rPr>
          <w:rFonts w:cs="Arial"/>
        </w:rPr>
        <w:fldChar w:fldCharType="end"/>
      </w:r>
      <w:r w:rsidRPr="00392E0D">
        <w:rPr>
          <w:rFonts w:cs="Arial"/>
        </w:rPr>
        <w:tab/>
      </w:r>
      <w:r w:rsidRPr="00392E0D">
        <w:rPr>
          <w:rFonts w:eastAsiaTheme="minorHAnsi" w:cs="Arial"/>
          <w:lang w:val="en-AU"/>
        </w:rPr>
        <w:t>National trends for Communication skills and general knowledge domain, all collections</w:t>
      </w:r>
    </w:p>
    <w:tbl>
      <w:tblPr>
        <w:tblStyle w:val="TableGrid"/>
        <w:tblW w:w="10370" w:type="dxa"/>
        <w:tblLayout w:type="fixed"/>
        <w:tblLook w:val="0020" w:firstRow="1" w:lastRow="0" w:firstColumn="0" w:lastColumn="0" w:noHBand="0" w:noVBand="0"/>
      </w:tblPr>
      <w:tblGrid>
        <w:gridCol w:w="974"/>
        <w:gridCol w:w="1566"/>
        <w:gridCol w:w="1566"/>
        <w:gridCol w:w="1566"/>
        <w:gridCol w:w="1566"/>
        <w:gridCol w:w="1566"/>
        <w:gridCol w:w="1566"/>
      </w:tblGrid>
      <w:tr w:rsidR="006F79BD" w:rsidRPr="00392E0D" w14:paraId="5AAF10F5" w14:textId="77777777" w:rsidTr="009C0F6A">
        <w:trPr>
          <w:trHeight w:val="287"/>
          <w:tblHeader/>
        </w:trPr>
        <w:tc>
          <w:tcPr>
            <w:tcW w:w="974" w:type="dxa"/>
          </w:tcPr>
          <w:p w14:paraId="7ECB5C8B" w14:textId="77777777" w:rsidR="006F79BD" w:rsidRPr="00392E0D" w:rsidRDefault="006F79BD" w:rsidP="00A50F3B">
            <w:pPr>
              <w:widowControl/>
              <w:adjustRightInd w:val="0"/>
              <w:rPr>
                <w:rFonts w:ascii="Arial" w:eastAsiaTheme="minorHAnsi" w:hAnsi="Arial" w:cs="Arial"/>
                <w:color w:val="000000"/>
                <w:sz w:val="20"/>
                <w:szCs w:val="20"/>
                <w:lang w:val="en-AU"/>
              </w:rPr>
            </w:pPr>
          </w:p>
        </w:tc>
        <w:tc>
          <w:tcPr>
            <w:tcW w:w="1566" w:type="dxa"/>
          </w:tcPr>
          <w:p w14:paraId="5AAA42CC"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66" w:type="dxa"/>
          </w:tcPr>
          <w:p w14:paraId="50D16127"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66" w:type="dxa"/>
          </w:tcPr>
          <w:p w14:paraId="0B88F53B"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66" w:type="dxa"/>
          </w:tcPr>
          <w:p w14:paraId="203486AB"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66" w:type="dxa"/>
          </w:tcPr>
          <w:p w14:paraId="1A1F045F"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566" w:type="dxa"/>
          </w:tcPr>
          <w:p w14:paraId="32F77778" w14:textId="77777777" w:rsidR="006F79BD" w:rsidRPr="00392E0D" w:rsidRDefault="006F79BD" w:rsidP="00A50F3B">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6F79BD" w:rsidRPr="00392E0D" w14:paraId="6C6974B5" w14:textId="77777777" w:rsidTr="00353668">
        <w:trPr>
          <w:trHeight w:val="287"/>
        </w:trPr>
        <w:tc>
          <w:tcPr>
            <w:tcW w:w="974" w:type="dxa"/>
          </w:tcPr>
          <w:p w14:paraId="092A6318"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66" w:type="dxa"/>
          </w:tcPr>
          <w:p w14:paraId="3A284C43"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185,484</w:t>
            </w:r>
          </w:p>
        </w:tc>
        <w:tc>
          <w:tcPr>
            <w:tcW w:w="1566" w:type="dxa"/>
          </w:tcPr>
          <w:p w14:paraId="37027730"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75.0</w:t>
            </w:r>
          </w:p>
        </w:tc>
        <w:tc>
          <w:tcPr>
            <w:tcW w:w="1566" w:type="dxa"/>
          </w:tcPr>
          <w:p w14:paraId="74A345E6"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39,027</w:t>
            </w:r>
          </w:p>
        </w:tc>
        <w:tc>
          <w:tcPr>
            <w:tcW w:w="1566" w:type="dxa"/>
          </w:tcPr>
          <w:p w14:paraId="36BD841D"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w:t>
            </w:r>
          </w:p>
        </w:tc>
        <w:tc>
          <w:tcPr>
            <w:tcW w:w="1566" w:type="dxa"/>
          </w:tcPr>
          <w:p w14:paraId="1F82143E"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22,701</w:t>
            </w:r>
          </w:p>
        </w:tc>
        <w:tc>
          <w:tcPr>
            <w:tcW w:w="1566" w:type="dxa"/>
          </w:tcPr>
          <w:p w14:paraId="5C4F61D8"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w:t>
            </w:r>
          </w:p>
        </w:tc>
      </w:tr>
      <w:tr w:rsidR="006F79BD" w:rsidRPr="00392E0D" w14:paraId="0DE0078F" w14:textId="77777777" w:rsidTr="00353668">
        <w:trPr>
          <w:trHeight w:val="287"/>
        </w:trPr>
        <w:tc>
          <w:tcPr>
            <w:tcW w:w="974" w:type="dxa"/>
          </w:tcPr>
          <w:p w14:paraId="24AF2A68"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66" w:type="dxa"/>
          </w:tcPr>
          <w:p w14:paraId="6EFAABEC"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204,702</w:t>
            </w:r>
          </w:p>
        </w:tc>
        <w:tc>
          <w:tcPr>
            <w:tcW w:w="1566" w:type="dxa"/>
          </w:tcPr>
          <w:p w14:paraId="21A27C44"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74.7</w:t>
            </w:r>
          </w:p>
        </w:tc>
        <w:tc>
          <w:tcPr>
            <w:tcW w:w="1566" w:type="dxa"/>
          </w:tcPr>
          <w:p w14:paraId="7185F62C"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44,633</w:t>
            </w:r>
          </w:p>
        </w:tc>
        <w:tc>
          <w:tcPr>
            <w:tcW w:w="1566" w:type="dxa"/>
          </w:tcPr>
          <w:p w14:paraId="3B41DC0A"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16.3</w:t>
            </w:r>
          </w:p>
        </w:tc>
        <w:tc>
          <w:tcPr>
            <w:tcW w:w="1566" w:type="dxa"/>
          </w:tcPr>
          <w:p w14:paraId="68A32E64"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24,520</w:t>
            </w:r>
          </w:p>
        </w:tc>
        <w:tc>
          <w:tcPr>
            <w:tcW w:w="1566" w:type="dxa"/>
          </w:tcPr>
          <w:p w14:paraId="5737AC76"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w:t>
            </w:r>
          </w:p>
        </w:tc>
      </w:tr>
      <w:tr w:rsidR="006F79BD" w:rsidRPr="00392E0D" w14:paraId="493048AB" w14:textId="77777777" w:rsidTr="00353668">
        <w:trPr>
          <w:trHeight w:val="287"/>
        </w:trPr>
        <w:tc>
          <w:tcPr>
            <w:tcW w:w="974" w:type="dxa"/>
          </w:tcPr>
          <w:p w14:paraId="668EA082"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66" w:type="dxa"/>
          </w:tcPr>
          <w:p w14:paraId="08B097D6"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219,023</w:t>
            </w:r>
          </w:p>
        </w:tc>
        <w:tc>
          <w:tcPr>
            <w:tcW w:w="1566" w:type="dxa"/>
          </w:tcPr>
          <w:p w14:paraId="79BDA2D6"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76.3</w:t>
            </w:r>
          </w:p>
        </w:tc>
        <w:tc>
          <w:tcPr>
            <w:tcW w:w="1566" w:type="dxa"/>
          </w:tcPr>
          <w:p w14:paraId="7B1CF17C"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43,415</w:t>
            </w:r>
          </w:p>
        </w:tc>
        <w:tc>
          <w:tcPr>
            <w:tcW w:w="1566" w:type="dxa"/>
          </w:tcPr>
          <w:p w14:paraId="20692B18"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15.1</w:t>
            </w:r>
          </w:p>
        </w:tc>
        <w:tc>
          <w:tcPr>
            <w:tcW w:w="1566" w:type="dxa"/>
          </w:tcPr>
          <w:p w14:paraId="7DA6F3BC"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24,475</w:t>
            </w:r>
          </w:p>
        </w:tc>
        <w:tc>
          <w:tcPr>
            <w:tcW w:w="1566" w:type="dxa"/>
          </w:tcPr>
          <w:p w14:paraId="08E16019"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w:t>
            </w:r>
          </w:p>
        </w:tc>
      </w:tr>
      <w:tr w:rsidR="006F79BD" w:rsidRPr="00392E0D" w14:paraId="3306BD4D" w14:textId="77777777" w:rsidTr="00353668">
        <w:trPr>
          <w:trHeight w:val="287"/>
        </w:trPr>
        <w:tc>
          <w:tcPr>
            <w:tcW w:w="974" w:type="dxa"/>
          </w:tcPr>
          <w:p w14:paraId="5C609AB1"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66" w:type="dxa"/>
          </w:tcPr>
          <w:p w14:paraId="011B5896"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227,163</w:t>
            </w:r>
          </w:p>
        </w:tc>
        <w:tc>
          <w:tcPr>
            <w:tcW w:w="1566" w:type="dxa"/>
          </w:tcPr>
          <w:p w14:paraId="112235A2"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77.3</w:t>
            </w:r>
          </w:p>
        </w:tc>
        <w:tc>
          <w:tcPr>
            <w:tcW w:w="1566" w:type="dxa"/>
          </w:tcPr>
          <w:p w14:paraId="687031BC"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42,473</w:t>
            </w:r>
          </w:p>
        </w:tc>
        <w:tc>
          <w:tcPr>
            <w:tcW w:w="1566" w:type="dxa"/>
          </w:tcPr>
          <w:p w14:paraId="3330F33E"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14.5</w:t>
            </w:r>
          </w:p>
        </w:tc>
        <w:tc>
          <w:tcPr>
            <w:tcW w:w="1566" w:type="dxa"/>
          </w:tcPr>
          <w:p w14:paraId="77F06FEE"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24,232</w:t>
            </w:r>
          </w:p>
        </w:tc>
        <w:tc>
          <w:tcPr>
            <w:tcW w:w="1566" w:type="dxa"/>
          </w:tcPr>
          <w:p w14:paraId="5E02F891"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w:t>
            </w:r>
          </w:p>
        </w:tc>
      </w:tr>
      <w:tr w:rsidR="006F79BD" w:rsidRPr="00392E0D" w14:paraId="4A8689EF" w14:textId="77777777" w:rsidTr="00353668">
        <w:trPr>
          <w:trHeight w:val="287"/>
        </w:trPr>
        <w:tc>
          <w:tcPr>
            <w:tcW w:w="974" w:type="dxa"/>
          </w:tcPr>
          <w:p w14:paraId="2498F8A8"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66" w:type="dxa"/>
          </w:tcPr>
          <w:p w14:paraId="1B881C07"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222,056</w:t>
            </w:r>
          </w:p>
        </w:tc>
        <w:tc>
          <w:tcPr>
            <w:tcW w:w="1566" w:type="dxa"/>
          </w:tcPr>
          <w:p w14:paraId="4FA7E799"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77.1</w:t>
            </w:r>
          </w:p>
        </w:tc>
        <w:tc>
          <w:tcPr>
            <w:tcW w:w="1566" w:type="dxa"/>
          </w:tcPr>
          <w:p w14:paraId="776CB51E"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41,882</w:t>
            </w:r>
          </w:p>
        </w:tc>
        <w:tc>
          <w:tcPr>
            <w:tcW w:w="1566" w:type="dxa"/>
          </w:tcPr>
          <w:p w14:paraId="206D2641"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14.5</w:t>
            </w:r>
          </w:p>
        </w:tc>
        <w:tc>
          <w:tcPr>
            <w:tcW w:w="1566" w:type="dxa"/>
          </w:tcPr>
          <w:p w14:paraId="166143E3"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24,064</w:t>
            </w:r>
          </w:p>
        </w:tc>
        <w:tc>
          <w:tcPr>
            <w:tcW w:w="1566" w:type="dxa"/>
          </w:tcPr>
          <w:p w14:paraId="2C761EC1" w14:textId="77777777" w:rsidR="006F79BD" w:rsidRPr="00392E0D" w:rsidRDefault="006F79BD">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w:t>
            </w:r>
          </w:p>
        </w:tc>
      </w:tr>
    </w:tbl>
    <w:p w14:paraId="24DEE1F5" w14:textId="77777777" w:rsidR="007A6B97" w:rsidRPr="00392E0D" w:rsidRDefault="007A6B97" w:rsidP="003844C1">
      <w:pPr>
        <w:pStyle w:val="Heading2"/>
        <w:spacing w:before="240"/>
        <w:rPr>
          <w:rFonts w:cs="Arial"/>
        </w:rPr>
      </w:pPr>
      <w:r w:rsidRPr="00392E0D">
        <w:rPr>
          <w:rFonts w:cs="Arial"/>
        </w:rPr>
        <w:t>Physical health and wellbeing domain</w:t>
      </w:r>
    </w:p>
    <w:p w14:paraId="2C2A2B66" w14:textId="77777777" w:rsidR="007A6B97" w:rsidRPr="00392E0D" w:rsidRDefault="007A6B97" w:rsidP="007A6B97">
      <w:pPr>
        <w:pStyle w:val="Body"/>
        <w:rPr>
          <w:rFonts w:cs="Arial"/>
        </w:rPr>
      </w:pPr>
      <w:r w:rsidRPr="00392E0D">
        <w:rPr>
          <w:rFonts w:cs="Arial"/>
        </w:rPr>
        <w:t>Results in the physical health and wellbeing domain continued to increase in both the percentage of developmentally on track and vulnerable children, whilst those assessed as developmentally at risk reduced. In 2021, the percentage of children who were on track increased by 0.4 percentage points to 78.5 per cent and the percentage who were vulnerable increased by 0.2 percentage points to 9.8 per cent, both at their peak since baseline.</w:t>
      </w:r>
    </w:p>
    <w:p w14:paraId="115B8EDD" w14:textId="77777777" w:rsidR="007A6B97" w:rsidRPr="00392E0D" w:rsidRDefault="007A6B97" w:rsidP="007A6B97">
      <w:pPr>
        <w:pStyle w:val="Heading2"/>
        <w:rPr>
          <w:rFonts w:cs="Arial"/>
        </w:rPr>
      </w:pPr>
      <w:r w:rsidRPr="00392E0D">
        <w:rPr>
          <w:rFonts w:cs="Arial"/>
        </w:rPr>
        <w:t>Social competence domain</w:t>
      </w:r>
    </w:p>
    <w:p w14:paraId="03C191B7" w14:textId="08D41FB7" w:rsidR="007A6B97" w:rsidRPr="00392E0D" w:rsidRDefault="007A6B97" w:rsidP="007A6B97">
      <w:pPr>
        <w:pStyle w:val="Body"/>
        <w:rPr>
          <w:rFonts w:cs="Arial"/>
        </w:rPr>
      </w:pPr>
      <w:r w:rsidRPr="00392E0D">
        <w:rPr>
          <w:rFonts w:cs="Arial"/>
        </w:rPr>
        <w:t>The social competence domain is the only domain where the level of vulnerability decreased in this collection (by 0.2 percentage points from 9.8 per cent in 2018 to 9.6 per cent in 2021). The percentage of children developmentally on track also improved slightly, by 0.1 percentage points (from 75.8 per cent in 2018 to 75.9 per cent in 2021). Despite small gains over the past two collections, the percentage of children developmentally vulnerable on this domain remains significantly higher than baseline (9.6 per cent in 2021 compared to 9.5 per cent in 2009).</w:t>
      </w:r>
    </w:p>
    <w:p w14:paraId="1634F796" w14:textId="77777777" w:rsidR="007A6B97" w:rsidRPr="00392E0D" w:rsidRDefault="007A6B97" w:rsidP="007A6B97">
      <w:pPr>
        <w:pStyle w:val="Heading2"/>
        <w:rPr>
          <w:rFonts w:cs="Arial"/>
        </w:rPr>
      </w:pPr>
      <w:r w:rsidRPr="00392E0D">
        <w:rPr>
          <w:rFonts w:cs="Arial"/>
        </w:rPr>
        <w:t>Emotional maturity domain</w:t>
      </w:r>
    </w:p>
    <w:p w14:paraId="7652B117" w14:textId="66083E88" w:rsidR="007A6B97" w:rsidRPr="00392E0D" w:rsidRDefault="007A6B97" w:rsidP="007A6B97">
      <w:pPr>
        <w:pStyle w:val="Body"/>
        <w:rPr>
          <w:rFonts w:cs="Arial"/>
        </w:rPr>
      </w:pPr>
      <w:r w:rsidRPr="00392E0D">
        <w:rPr>
          <w:rFonts w:cs="Arial"/>
        </w:rPr>
        <w:t xml:space="preserve">The emotional maturity domain had the most consistent results, relative to 2018, with no significant change in the percentage of children developmental vulnerable, on track or at risk compared to 2018. Children’s assessment on this domain remains considerably more </w:t>
      </w:r>
      <w:proofErr w:type="spellStart"/>
      <w:r w:rsidRPr="00392E0D">
        <w:rPr>
          <w:rFonts w:cs="Arial"/>
        </w:rPr>
        <w:t>favourable</w:t>
      </w:r>
      <w:proofErr w:type="spellEnd"/>
      <w:r w:rsidRPr="00392E0D">
        <w:rPr>
          <w:rFonts w:cs="Arial"/>
        </w:rPr>
        <w:t xml:space="preserve"> than baseline (for example, 75.6 per cent of children were developmentally on track in 2009 compared to 77.0 per cent in 2021), with most of these gains occurring between 2009 and 2012.</w:t>
      </w:r>
    </w:p>
    <w:p w14:paraId="09240003" w14:textId="77777777" w:rsidR="007A6B97" w:rsidRPr="00392E0D" w:rsidRDefault="007A6B97" w:rsidP="007A6B97">
      <w:pPr>
        <w:pStyle w:val="Heading2"/>
        <w:rPr>
          <w:rFonts w:cs="Arial"/>
        </w:rPr>
      </w:pPr>
      <w:r w:rsidRPr="00392E0D">
        <w:rPr>
          <w:rFonts w:cs="Arial"/>
        </w:rPr>
        <w:t>Language and cognitive skills (school-based) domain</w:t>
      </w:r>
    </w:p>
    <w:p w14:paraId="3B257326" w14:textId="5BEB9F1C" w:rsidR="007A6B97" w:rsidRPr="00392E0D" w:rsidRDefault="007A6B97" w:rsidP="007A6B97">
      <w:pPr>
        <w:pStyle w:val="Body"/>
        <w:rPr>
          <w:rFonts w:cs="Arial"/>
        </w:rPr>
      </w:pPr>
      <w:r w:rsidRPr="00392E0D">
        <w:rPr>
          <w:rFonts w:cs="Arial"/>
        </w:rPr>
        <w:t>The language and cognitive skills (school-based) domain has experienced the greatest gains over the history of the AEDC, mostly between 2009-2012. These gains did not continue for this collection, with vulnerability increasing by 0.7 percentage points (from 6.6 per cent in 2018 to 7.3 per cent in 2021) and on track children decreasing 1.8 percentage points (from 84.4 per cent in 2018 to 82.6 per cent in 2021</w:t>
      </w:r>
      <w:r w:rsidR="005274AC" w:rsidRPr="00392E0D">
        <w:rPr>
          <w:rFonts w:cs="Arial"/>
        </w:rPr>
        <w:t>)</w:t>
      </w:r>
      <w:r w:rsidRPr="00392E0D">
        <w:rPr>
          <w:rFonts w:cs="Arial"/>
        </w:rPr>
        <w:t>.</w:t>
      </w:r>
    </w:p>
    <w:p w14:paraId="13C9E184" w14:textId="77777777" w:rsidR="007A6B97" w:rsidRPr="00392E0D" w:rsidRDefault="007A6B97" w:rsidP="007A6B97">
      <w:pPr>
        <w:pStyle w:val="Heading2"/>
        <w:rPr>
          <w:rFonts w:cs="Arial"/>
        </w:rPr>
      </w:pPr>
      <w:r w:rsidRPr="00392E0D">
        <w:rPr>
          <w:rFonts w:cs="Arial"/>
        </w:rPr>
        <w:t>Communication skills and general knowledge domain</w:t>
      </w:r>
    </w:p>
    <w:p w14:paraId="5F9C90FE" w14:textId="2E66D14E" w:rsidR="007A6B97" w:rsidRPr="00392E0D" w:rsidRDefault="007A6B97" w:rsidP="007A6B97">
      <w:pPr>
        <w:pStyle w:val="Body"/>
        <w:rPr>
          <w:rFonts w:cs="Arial"/>
        </w:rPr>
      </w:pPr>
      <w:r w:rsidRPr="00392E0D">
        <w:rPr>
          <w:rFonts w:cs="Arial"/>
        </w:rPr>
        <w:t>The steady gains made in the communication skills and general knowledge domain since 2012 did not continue in this collection, with a slight decrease in the percentage of children on track on this domain of 0.2 percentage points (from 77.3 per cent in 2018 to 77.1 per cent in 2021). There was also a small increase in developmental vulnerability on this domain of 0.2 percentage points (from 8.2 per cent in 2018 to 8.4 per cent in 2021).</w:t>
      </w:r>
    </w:p>
    <w:p w14:paraId="0A91DD32" w14:textId="77777777" w:rsidR="003844C1" w:rsidRPr="00392E0D" w:rsidRDefault="003844C1" w:rsidP="003844C1">
      <w:pPr>
        <w:pStyle w:val="Heading2"/>
        <w:rPr>
          <w:rFonts w:cs="Arial"/>
        </w:rPr>
      </w:pPr>
      <w:r w:rsidRPr="00392E0D">
        <w:rPr>
          <w:rFonts w:cs="Arial"/>
        </w:rPr>
        <w:lastRenderedPageBreak/>
        <w:t>How to use the AEDC data</w:t>
      </w:r>
    </w:p>
    <w:p w14:paraId="18DF80DD" w14:textId="77777777" w:rsidR="003844C1" w:rsidRPr="00392E0D" w:rsidRDefault="003844C1" w:rsidP="003844C1">
      <w:pPr>
        <w:pStyle w:val="Body"/>
        <w:rPr>
          <w:rFonts w:cs="Arial"/>
        </w:rPr>
      </w:pPr>
      <w:r w:rsidRPr="00392E0D">
        <w:rPr>
          <w:rFonts w:cs="Arial"/>
        </w:rPr>
        <w:t>AEDC data can be used by communities, schools, government and non-government agencies and policy makers, in conjunction with other resources (such as state / territory and national statistics) to plan and evaluate efforts to create optimal early childhood development outcomes.</w:t>
      </w:r>
    </w:p>
    <w:p w14:paraId="515F4C84" w14:textId="77777777" w:rsidR="003844C1" w:rsidRPr="00392E0D" w:rsidRDefault="003844C1" w:rsidP="003844C1">
      <w:pPr>
        <w:pStyle w:val="Body"/>
        <w:rPr>
          <w:rFonts w:cs="Arial"/>
        </w:rPr>
      </w:pPr>
      <w:r w:rsidRPr="00392E0D">
        <w:rPr>
          <w:rFonts w:cs="Arial"/>
        </w:rPr>
        <w:t>For communities and schools, AEDC data provides robust evidence to support local planning that is responsive to children and families.</w:t>
      </w:r>
    </w:p>
    <w:p w14:paraId="50074090" w14:textId="77777777" w:rsidR="003844C1" w:rsidRPr="00392E0D" w:rsidRDefault="003844C1" w:rsidP="003844C1">
      <w:pPr>
        <w:pStyle w:val="Body"/>
        <w:rPr>
          <w:rFonts w:cs="Arial"/>
        </w:rPr>
      </w:pPr>
      <w:r w:rsidRPr="00392E0D">
        <w:rPr>
          <w:rFonts w:cs="Arial"/>
        </w:rPr>
        <w:t>At the government level, the AEDC provides a sound basis for strategic planning, policy creation and policy evaluation. Policy makers can use AEDC results to help allocate resources and services to more effectively meet the needs of children and families.</w:t>
      </w:r>
    </w:p>
    <w:p w14:paraId="4144C1A2" w14:textId="77777777" w:rsidR="003844C1" w:rsidRPr="00392E0D" w:rsidRDefault="003844C1" w:rsidP="003844C1">
      <w:pPr>
        <w:pStyle w:val="Body"/>
        <w:rPr>
          <w:rFonts w:cs="Arial"/>
        </w:rPr>
      </w:pPr>
      <w:r w:rsidRPr="00392E0D">
        <w:rPr>
          <w:rFonts w:cs="Arial"/>
        </w:rPr>
        <w:t>The AEDC provides a common ground from which key stakeholders can work together, enabling governments at all levels, policy makers and communities to form partnerships to plan and implement activities, programs and services to help shape the future and wellbeing of children in Australia.</w:t>
      </w:r>
    </w:p>
    <w:p w14:paraId="39787A66" w14:textId="7DAEF263" w:rsidR="003844C1" w:rsidRPr="00392E0D" w:rsidRDefault="003844C1" w:rsidP="003844C1">
      <w:pPr>
        <w:pStyle w:val="Body"/>
        <w:rPr>
          <w:rFonts w:cs="Arial"/>
        </w:rPr>
      </w:pPr>
      <w:r w:rsidRPr="00392E0D">
        <w:rPr>
          <w:rFonts w:cs="Arial"/>
        </w:rPr>
        <w:t>For further information on how to use the AEDC results, refer to the AEDC User Guide: (</w:t>
      </w:r>
      <w:hyperlink r:id="rId19" w:history="1">
        <w:r w:rsidRPr="00392E0D">
          <w:rPr>
            <w:rStyle w:val="Hyperlink"/>
            <w:rFonts w:cs="Arial"/>
            <w:color w:val="000000" w:themeColor="text1"/>
          </w:rPr>
          <w:t>aedc.gov.au/</w:t>
        </w:r>
        <w:proofErr w:type="spellStart"/>
        <w:r w:rsidRPr="00392E0D">
          <w:rPr>
            <w:rStyle w:val="Hyperlink"/>
            <w:rFonts w:cs="Arial"/>
            <w:color w:val="000000" w:themeColor="text1"/>
          </w:rPr>
          <w:t>ugr</w:t>
        </w:r>
        <w:proofErr w:type="spellEnd"/>
      </w:hyperlink>
      <w:r w:rsidRPr="00392E0D">
        <w:rPr>
          <w:rFonts w:cs="Arial"/>
        </w:rPr>
        <w:t>).</w:t>
      </w:r>
    </w:p>
    <w:p w14:paraId="64B3F930" w14:textId="7901B6DD" w:rsidR="003844C1" w:rsidRPr="00392E0D" w:rsidRDefault="003844C1" w:rsidP="003844C1">
      <w:pPr>
        <w:pStyle w:val="Heading2"/>
        <w:rPr>
          <w:rFonts w:cs="Arial"/>
        </w:rPr>
      </w:pPr>
      <w:r w:rsidRPr="00392E0D">
        <w:rPr>
          <w:rFonts w:cs="Arial"/>
        </w:rPr>
        <w:t xml:space="preserve">Reflections on the introduction of the </w:t>
      </w:r>
      <w:proofErr w:type="spellStart"/>
      <w:r w:rsidRPr="00392E0D">
        <w:rPr>
          <w:rFonts w:cs="Arial"/>
        </w:rPr>
        <w:t>UANP</w:t>
      </w:r>
      <w:proofErr w:type="spellEnd"/>
      <w:r w:rsidRPr="00392E0D">
        <w:rPr>
          <w:rFonts w:cs="Arial"/>
        </w:rPr>
        <w:t xml:space="preserve"> and </w:t>
      </w:r>
      <w:proofErr w:type="spellStart"/>
      <w:r w:rsidRPr="00392E0D">
        <w:rPr>
          <w:rFonts w:cs="Arial"/>
        </w:rPr>
        <w:t>NQF</w:t>
      </w:r>
      <w:proofErr w:type="spellEnd"/>
    </w:p>
    <w:p w14:paraId="2B758FC3" w14:textId="29BB5A75" w:rsidR="003844C1" w:rsidRPr="00392E0D" w:rsidRDefault="003844C1" w:rsidP="003844C1">
      <w:pPr>
        <w:pStyle w:val="Body"/>
        <w:rPr>
          <w:rFonts w:cs="Arial"/>
        </w:rPr>
      </w:pPr>
      <w:r w:rsidRPr="00392E0D">
        <w:rPr>
          <w:rFonts w:cs="Arial"/>
        </w:rPr>
        <w:t>The introduction of the Universal Access National Partnership (</w:t>
      </w:r>
      <w:proofErr w:type="spellStart"/>
      <w:r w:rsidRPr="00392E0D">
        <w:rPr>
          <w:rFonts w:cs="Arial"/>
        </w:rPr>
        <w:t>UANP</w:t>
      </w:r>
      <w:proofErr w:type="spellEnd"/>
      <w:r w:rsidRPr="00392E0D">
        <w:rPr>
          <w:rFonts w:cs="Arial"/>
        </w:rPr>
        <w:t xml:space="preserve">) in 2008 reflected a national commitment by federal, state and territory governments to ensure quality education and care for children in the early years, from birth to school entry. Prior to 2008, mainstream preschool provision was the sole responsibility of states and territories. In 2013, the </w:t>
      </w:r>
      <w:proofErr w:type="spellStart"/>
      <w:r w:rsidRPr="00392E0D">
        <w:rPr>
          <w:rFonts w:cs="Arial"/>
        </w:rPr>
        <w:t>UANP</w:t>
      </w:r>
      <w:proofErr w:type="spellEnd"/>
      <w:r w:rsidRPr="00392E0D">
        <w:rPr>
          <w:rFonts w:cs="Arial"/>
        </w:rPr>
        <w:t xml:space="preserve"> was amended to include a commitment to ensuring all Australian children could access a quality preschool program for at least 600 hours per year (or 15 hours per week) in the year before school.</w:t>
      </w:r>
    </w:p>
    <w:p w14:paraId="5818FE1C" w14:textId="77777777" w:rsidR="003844C1" w:rsidRPr="00392E0D" w:rsidRDefault="003844C1" w:rsidP="003844C1">
      <w:pPr>
        <w:pStyle w:val="Body"/>
        <w:rPr>
          <w:rFonts w:cs="Arial"/>
        </w:rPr>
      </w:pPr>
      <w:r w:rsidRPr="00392E0D">
        <w:rPr>
          <w:rFonts w:cs="Arial"/>
        </w:rPr>
        <w:t>To drive quality of service provision, a National Quality Framework (</w:t>
      </w:r>
      <w:proofErr w:type="spellStart"/>
      <w:r w:rsidRPr="00392E0D">
        <w:rPr>
          <w:rFonts w:cs="Arial"/>
        </w:rPr>
        <w:t>NQF</w:t>
      </w:r>
      <w:proofErr w:type="spellEnd"/>
      <w:r w:rsidRPr="00392E0D">
        <w:rPr>
          <w:rFonts w:cs="Arial"/>
        </w:rPr>
        <w:t xml:space="preserve">) was implemented in 2012. The </w:t>
      </w:r>
      <w:proofErr w:type="spellStart"/>
      <w:r w:rsidRPr="00392E0D">
        <w:rPr>
          <w:rFonts w:cs="Arial"/>
        </w:rPr>
        <w:t>NQF</w:t>
      </w:r>
      <w:proofErr w:type="spellEnd"/>
      <w:r w:rsidRPr="00392E0D">
        <w:rPr>
          <w:rFonts w:cs="Arial"/>
        </w:rPr>
        <w:t xml:space="preserve"> includes a quality rating process to assess </w:t>
      </w:r>
      <w:proofErr w:type="spellStart"/>
      <w:r w:rsidRPr="00392E0D">
        <w:rPr>
          <w:rFonts w:cs="Arial"/>
        </w:rPr>
        <w:t>centre</w:t>
      </w:r>
      <w:proofErr w:type="spellEnd"/>
      <w:r w:rsidRPr="00392E0D">
        <w:rPr>
          <w:rFonts w:cs="Arial"/>
        </w:rPr>
        <w:t>-based day care, family day care, preschool/kindergarten and outside school hours care against the National Quality Standard.  It features seven quality areas that are important outcomes for children and is administered by the Australian Children’s Education and Care Quality Authority (</w:t>
      </w:r>
      <w:proofErr w:type="spellStart"/>
      <w:r w:rsidRPr="00392E0D">
        <w:rPr>
          <w:rFonts w:cs="Arial"/>
        </w:rPr>
        <w:t>ACECQA</w:t>
      </w:r>
      <w:proofErr w:type="spellEnd"/>
      <w:r w:rsidRPr="00392E0D">
        <w:rPr>
          <w:rFonts w:cs="Arial"/>
        </w:rPr>
        <w:t>).</w:t>
      </w:r>
    </w:p>
    <w:p w14:paraId="5D55FB7C" w14:textId="0AD559AF" w:rsidR="003844C1" w:rsidRPr="00392E0D" w:rsidRDefault="003844C1" w:rsidP="003844C1">
      <w:pPr>
        <w:pStyle w:val="Body"/>
        <w:rPr>
          <w:rFonts w:cs="Arial"/>
        </w:rPr>
      </w:pPr>
      <w:r w:rsidRPr="00392E0D">
        <w:rPr>
          <w:rFonts w:cs="Arial"/>
        </w:rPr>
        <w:t xml:space="preserve">The </w:t>
      </w:r>
      <w:proofErr w:type="spellStart"/>
      <w:r w:rsidRPr="00392E0D">
        <w:rPr>
          <w:rFonts w:cs="Arial"/>
        </w:rPr>
        <w:t>UANP</w:t>
      </w:r>
      <w:proofErr w:type="spellEnd"/>
      <w:r w:rsidRPr="00392E0D">
        <w:rPr>
          <w:rFonts w:cs="Arial"/>
        </w:rPr>
        <w:t xml:space="preserve"> and </w:t>
      </w:r>
      <w:proofErr w:type="spellStart"/>
      <w:r w:rsidRPr="00392E0D">
        <w:rPr>
          <w:rFonts w:cs="Arial"/>
        </w:rPr>
        <w:t>NQF</w:t>
      </w:r>
      <w:proofErr w:type="spellEnd"/>
      <w:r w:rsidRPr="00392E0D">
        <w:rPr>
          <w:rFonts w:cs="Arial"/>
        </w:rPr>
        <w:t xml:space="preserve"> have been instrumental in Australian governments making significant progress towards providing universal access to quality, affordable preschool. While preschool participation in Australia is a matter of parental choice, the percentage of children enrolled in the target hours of 600 per year has increased significantly, from 12 per cent in 2008 to 96 per cent in 2018</w:t>
      </w:r>
      <w:bookmarkStart w:id="5" w:name="_Ref99458531"/>
      <w:r w:rsidRPr="00392E0D">
        <w:rPr>
          <w:rStyle w:val="FootnoteReference"/>
          <w:rFonts w:cs="Arial"/>
        </w:rPr>
        <w:footnoteReference w:id="5"/>
      </w:r>
      <w:bookmarkEnd w:id="5"/>
      <w:r w:rsidRPr="00392E0D">
        <w:rPr>
          <w:rFonts w:cs="Arial"/>
        </w:rPr>
        <w:t xml:space="preserve">. The percentage of </w:t>
      </w:r>
      <w:r w:rsidR="009F73E4">
        <w:rPr>
          <w:rFonts w:cs="Arial"/>
        </w:rPr>
        <w:t>Aboriginal and Torres Strait Islander</w:t>
      </w:r>
      <w:r w:rsidRPr="00392E0D">
        <w:rPr>
          <w:rFonts w:cs="Arial"/>
        </w:rPr>
        <w:t xml:space="preserve"> children enrolled in preschool has also increased from 77 per cent (in 2016) to 93 per cent (in 2020), which is on track to reach the Closing the Gap target of 95 per cent by 2025.</w:t>
      </w:r>
    </w:p>
    <w:p w14:paraId="271826A4" w14:textId="652A1474" w:rsidR="003844C1" w:rsidRPr="00392E0D" w:rsidRDefault="003844C1" w:rsidP="003844C1">
      <w:pPr>
        <w:pStyle w:val="Body"/>
        <w:rPr>
          <w:rFonts w:cs="Arial"/>
        </w:rPr>
      </w:pPr>
      <w:r w:rsidRPr="00392E0D">
        <w:rPr>
          <w:rFonts w:cs="Arial"/>
        </w:rPr>
        <w:t xml:space="preserve">Under the </w:t>
      </w:r>
      <w:proofErr w:type="spellStart"/>
      <w:r w:rsidRPr="00392E0D">
        <w:rPr>
          <w:rFonts w:cs="Arial"/>
        </w:rPr>
        <w:t>NQF</w:t>
      </w:r>
      <w:proofErr w:type="spellEnd"/>
      <w:r w:rsidRPr="00392E0D">
        <w:rPr>
          <w:rFonts w:cs="Arial"/>
        </w:rPr>
        <w:t>, the percentage of education and care services rated as ‘meeting National Quality Standard or above’ has also continued to increase, from 56 per cent in 2013 to 86 per cent in 2021</w:t>
      </w:r>
      <w:r w:rsidRPr="00392E0D">
        <w:rPr>
          <w:rStyle w:val="FootnoteReference"/>
          <w:rFonts w:cs="Arial"/>
        </w:rPr>
        <w:footnoteReference w:id="6"/>
      </w:r>
      <w:r w:rsidRPr="00392E0D">
        <w:rPr>
          <w:rFonts w:cs="Arial"/>
        </w:rPr>
        <w:t>.</w:t>
      </w:r>
    </w:p>
    <w:p w14:paraId="51D12DCD" w14:textId="2C1FACCF" w:rsidR="003844C1" w:rsidRPr="00392E0D" w:rsidRDefault="003844C1" w:rsidP="003844C1">
      <w:pPr>
        <w:pStyle w:val="Body"/>
        <w:rPr>
          <w:rFonts w:cs="Arial"/>
        </w:rPr>
      </w:pPr>
      <w:r w:rsidRPr="00392E0D">
        <w:rPr>
          <w:rFonts w:cs="Arial"/>
        </w:rPr>
        <w:t xml:space="preserve">While acknowledging the significance of these achievements, challenges remain. Preschool attendance (including hours of attendance) can be lifted further, particularly among </w:t>
      </w:r>
      <w:r w:rsidR="009F73E4">
        <w:rPr>
          <w:rFonts w:cs="Arial"/>
        </w:rPr>
        <w:t>Aboriginal and Torres Strait Islander</w:t>
      </w:r>
      <w:r w:rsidRPr="00392E0D">
        <w:rPr>
          <w:rFonts w:cs="Arial"/>
        </w:rPr>
        <w:t xml:space="preserve"> children and those experiencing vulnerability and disadvantage</w:t>
      </w:r>
      <w:r w:rsidRPr="00392E0D">
        <w:rPr>
          <w:rFonts w:cs="Arial"/>
          <w:vertAlign w:val="superscript"/>
        </w:rPr>
        <w:fldChar w:fldCharType="begin"/>
      </w:r>
      <w:r w:rsidRPr="00392E0D">
        <w:rPr>
          <w:rFonts w:cs="Arial"/>
          <w:vertAlign w:val="superscript"/>
        </w:rPr>
        <w:instrText xml:space="preserve"> NOTEREF _Ref99458531 \h  \* MERGEFORMAT </w:instrText>
      </w:r>
      <w:r w:rsidRPr="00392E0D">
        <w:rPr>
          <w:rFonts w:cs="Arial"/>
          <w:vertAlign w:val="superscript"/>
        </w:rPr>
      </w:r>
      <w:r w:rsidRPr="00392E0D">
        <w:rPr>
          <w:rFonts w:cs="Arial"/>
          <w:vertAlign w:val="superscript"/>
        </w:rPr>
        <w:fldChar w:fldCharType="separate"/>
      </w:r>
      <w:r w:rsidR="00392E0D">
        <w:rPr>
          <w:rFonts w:cs="Arial"/>
          <w:vertAlign w:val="superscript"/>
        </w:rPr>
        <w:t>5</w:t>
      </w:r>
      <w:r w:rsidRPr="00392E0D">
        <w:rPr>
          <w:rFonts w:cs="Arial"/>
          <w:vertAlign w:val="superscript"/>
        </w:rPr>
        <w:fldChar w:fldCharType="end"/>
      </w:r>
      <w:r w:rsidRPr="00392E0D">
        <w:rPr>
          <w:rFonts w:cs="Arial"/>
        </w:rPr>
        <w:t>. There is also a growing gap between the quality of services in the most disadvantaged and most advantaged areas.</w:t>
      </w:r>
    </w:p>
    <w:p w14:paraId="6872C5EA" w14:textId="4C7CA432" w:rsidR="00353668" w:rsidRPr="00392E0D" w:rsidRDefault="00353668" w:rsidP="007A6B97">
      <w:pPr>
        <w:pStyle w:val="Body"/>
        <w:rPr>
          <w:rFonts w:cs="Arial"/>
        </w:rPr>
      </w:pPr>
      <w:r w:rsidRPr="00392E0D">
        <w:rPr>
          <w:rFonts w:cs="Arial"/>
        </w:rPr>
        <w:br w:type="page"/>
      </w:r>
    </w:p>
    <w:p w14:paraId="433D812B" w14:textId="76D1762E" w:rsidR="00BB146E" w:rsidRPr="00392E0D" w:rsidRDefault="00BB146E" w:rsidP="001E1A5B">
      <w:pPr>
        <w:pStyle w:val="Heading1"/>
        <w:rPr>
          <w:rFonts w:cs="Arial"/>
        </w:rPr>
      </w:pPr>
      <w:bookmarkStart w:id="7" w:name="_Toc99530570"/>
      <w:r w:rsidRPr="00392E0D">
        <w:rPr>
          <w:rFonts w:cs="Arial"/>
        </w:rPr>
        <w:lastRenderedPageBreak/>
        <w:t>C</w:t>
      </w:r>
      <w:r w:rsidR="004A4EC9">
        <w:rPr>
          <w:rFonts w:cs="Arial"/>
        </w:rPr>
        <w:t>ase</w:t>
      </w:r>
      <w:r w:rsidRPr="00392E0D">
        <w:rPr>
          <w:rFonts w:cs="Arial"/>
        </w:rPr>
        <w:t xml:space="preserve"> </w:t>
      </w:r>
      <w:r w:rsidR="004A4EC9">
        <w:rPr>
          <w:rFonts w:cs="Arial"/>
        </w:rPr>
        <w:t>studies</w:t>
      </w:r>
      <w:bookmarkEnd w:id="7"/>
    </w:p>
    <w:p w14:paraId="1CA10C28" w14:textId="77777777" w:rsidR="00BB146E" w:rsidRPr="00392E0D" w:rsidRDefault="00BB146E" w:rsidP="00BB146E">
      <w:pPr>
        <w:pStyle w:val="Heading2"/>
        <w:rPr>
          <w:rFonts w:cs="Arial"/>
        </w:rPr>
      </w:pPr>
      <w:r w:rsidRPr="00392E0D">
        <w:rPr>
          <w:rFonts w:cs="Arial"/>
        </w:rPr>
        <w:t>Talkers Playgroup improves language and communication (New South Wales)</w:t>
      </w:r>
    </w:p>
    <w:p w14:paraId="695C1AE4" w14:textId="77777777" w:rsidR="00BB146E" w:rsidRPr="00392E0D" w:rsidRDefault="00BB146E" w:rsidP="00BB146E">
      <w:pPr>
        <w:pStyle w:val="Body"/>
        <w:rPr>
          <w:rFonts w:cs="Arial"/>
        </w:rPr>
      </w:pPr>
      <w:r w:rsidRPr="00392E0D">
        <w:rPr>
          <w:rFonts w:cs="Arial"/>
        </w:rPr>
        <w:t>The Talkers Speech Therapy playgroup was developed in direct response to the AEDC data which showed an increase in children developmentally at risk or vulnerable in language and cognitive skills, as well as communication skills. The initiative was developed and funded through partnerships between a School as Community Centre (</w:t>
      </w:r>
      <w:proofErr w:type="spellStart"/>
      <w:r w:rsidRPr="00392E0D">
        <w:rPr>
          <w:rFonts w:cs="Arial"/>
        </w:rPr>
        <w:t>SaCC</w:t>
      </w:r>
      <w:proofErr w:type="spellEnd"/>
      <w:r w:rsidRPr="00392E0D">
        <w:rPr>
          <w:rFonts w:cs="Arial"/>
        </w:rPr>
        <w:t xml:space="preserve">) at Blue Haven and North Lakes and several early childhood service providers. Families attending Blue Haven and Northlakes </w:t>
      </w:r>
      <w:proofErr w:type="spellStart"/>
      <w:r w:rsidRPr="00392E0D">
        <w:rPr>
          <w:rFonts w:cs="Arial"/>
        </w:rPr>
        <w:t>SaCC</w:t>
      </w:r>
      <w:proofErr w:type="spellEnd"/>
      <w:r w:rsidRPr="00392E0D">
        <w:rPr>
          <w:rFonts w:cs="Arial"/>
        </w:rPr>
        <w:t xml:space="preserve"> were also consulted. This approach and partnership are examples of a creative community response to the AEDC data. Speech pathology is provided to families in a playgroup based and fun setting for children aged 0 – 6.</w:t>
      </w:r>
    </w:p>
    <w:p w14:paraId="0D809E28" w14:textId="070E74C7" w:rsidR="00BB146E" w:rsidRPr="00392E0D" w:rsidRDefault="00BB146E" w:rsidP="00BB146E">
      <w:pPr>
        <w:pStyle w:val="Body"/>
        <w:rPr>
          <w:rFonts w:cs="Arial"/>
        </w:rPr>
      </w:pPr>
      <w:r w:rsidRPr="00392E0D">
        <w:rPr>
          <w:rFonts w:cs="Arial"/>
        </w:rPr>
        <w:t xml:space="preserve">During the COVID lockdown, the </w:t>
      </w:r>
      <w:proofErr w:type="spellStart"/>
      <w:r w:rsidRPr="00392E0D">
        <w:rPr>
          <w:rFonts w:cs="Arial"/>
        </w:rPr>
        <w:t>SaCC</w:t>
      </w:r>
      <w:proofErr w:type="spellEnd"/>
      <w:r w:rsidRPr="00392E0D">
        <w:rPr>
          <w:rFonts w:cs="Arial"/>
        </w:rPr>
        <w:t xml:space="preserve"> created an online platform to offer Talkers Playgroup sessions. Attendance has been excellent in both face-to-face and online modes of delivery. There has been good attendance from Aboriginal and Torres Strait Islander families, as well as Culturally and Linguistically Diverse families. In 2021, preliminary results indicated a rise in children on track within both the AEDC domains focused on language and communication.</w:t>
      </w:r>
    </w:p>
    <w:p w14:paraId="0C631037" w14:textId="546E3E5A" w:rsidR="00BB146E" w:rsidRPr="00392E0D" w:rsidRDefault="00BB146E" w:rsidP="00BB146E">
      <w:pPr>
        <w:pStyle w:val="Body"/>
        <w:rPr>
          <w:rFonts w:cs="Arial"/>
        </w:rPr>
      </w:pPr>
      <w:r w:rsidRPr="00392E0D">
        <w:rPr>
          <w:rFonts w:cs="Arial"/>
        </w:rPr>
        <w:t xml:space="preserve">For this and other stories visit </w:t>
      </w:r>
      <w:hyperlink r:id="rId20" w:history="1">
        <w:r w:rsidRPr="00392E0D">
          <w:rPr>
            <w:rStyle w:val="Hyperlink"/>
            <w:rFonts w:cs="Arial"/>
            <w:color w:val="000000" w:themeColor="text1"/>
          </w:rPr>
          <w:t>aedc.gov.au/cs</w:t>
        </w:r>
      </w:hyperlink>
    </w:p>
    <w:p w14:paraId="2AD6F484" w14:textId="6DA5BD6C" w:rsidR="00BB146E" w:rsidRPr="00392E0D" w:rsidRDefault="00BB146E" w:rsidP="00BB146E">
      <w:pPr>
        <w:pStyle w:val="Heading2"/>
        <w:rPr>
          <w:rFonts w:cs="Arial"/>
        </w:rPr>
      </w:pPr>
      <w:r w:rsidRPr="00392E0D">
        <w:rPr>
          <w:rFonts w:cs="Arial"/>
        </w:rPr>
        <w:t>From strength to strength with whole-of-school approach (Northern Territory)</w:t>
      </w:r>
    </w:p>
    <w:p w14:paraId="136F3FCD" w14:textId="77777777" w:rsidR="00BB146E" w:rsidRPr="00392E0D" w:rsidRDefault="00BB146E" w:rsidP="00BB146E">
      <w:pPr>
        <w:pStyle w:val="Body"/>
        <w:rPr>
          <w:rFonts w:cs="Arial"/>
        </w:rPr>
      </w:pPr>
      <w:r w:rsidRPr="00392E0D">
        <w:rPr>
          <w:rFonts w:cs="Arial"/>
        </w:rPr>
        <w:t>Malak Primary School and preschool are situated in the northern suburbs of Darwin and have a significant number of children from disadvantaged backgrounds. The 2015 AEDC results showed that 60% of the school’s children were vulnerable on one or more domain and 40% were vulnerable on two or more domains.</w:t>
      </w:r>
    </w:p>
    <w:p w14:paraId="2DEF58C4" w14:textId="77777777" w:rsidR="00BB146E" w:rsidRPr="00392E0D" w:rsidRDefault="00BB146E" w:rsidP="00BB146E">
      <w:pPr>
        <w:pStyle w:val="Body"/>
        <w:rPr>
          <w:rFonts w:cs="Arial"/>
        </w:rPr>
      </w:pPr>
      <w:proofErr w:type="spellStart"/>
      <w:r w:rsidRPr="00392E0D">
        <w:rPr>
          <w:rFonts w:cs="Arial"/>
        </w:rPr>
        <w:t>Recognising</w:t>
      </w:r>
      <w:proofErr w:type="spellEnd"/>
      <w:r w:rsidRPr="00392E0D">
        <w:rPr>
          <w:rFonts w:cs="Arial"/>
        </w:rPr>
        <w:t xml:space="preserve"> that there was an issue, the </w:t>
      </w:r>
      <w:proofErr w:type="gramStart"/>
      <w:r w:rsidRPr="00392E0D">
        <w:rPr>
          <w:rFonts w:cs="Arial"/>
        </w:rPr>
        <w:t>school worked</w:t>
      </w:r>
      <w:proofErr w:type="gramEnd"/>
      <w:r w:rsidRPr="00392E0D">
        <w:rPr>
          <w:rFonts w:cs="Arial"/>
        </w:rPr>
        <w:t xml:space="preserve"> with a diverse group of professionals to identify the challenges facing their students and develop programs to overcome them. Such programs included Gateways to Literacy for preschool and Transition that encompassed gross motor skills with language embedded activities, What’s the Buzz social skills program which incorporated literacy, stories and role-playing and promoted positive choices. The school adopted the trauma informed and positive psychology practices of the Berry Street Education Model across the whole school. This enabled students to identify their emotions, learn to regulate them and be ‘Ready to Learn’, as well incorporating the NT STEM preschool </w:t>
      </w:r>
      <w:proofErr w:type="spellStart"/>
      <w:r w:rsidRPr="00392E0D">
        <w:rPr>
          <w:rFonts w:cs="Arial"/>
        </w:rPr>
        <w:t>maths</w:t>
      </w:r>
      <w:proofErr w:type="spellEnd"/>
      <w:r w:rsidRPr="00392E0D">
        <w:rPr>
          <w:rFonts w:cs="Arial"/>
        </w:rPr>
        <w:t xml:space="preserve"> and science games pilot with Melbourne University to increase the knowledge of mathematical language and the implementation of a Reggio Emilia inspired approach to assist children to be confident in their families and in their lives.</w:t>
      </w:r>
    </w:p>
    <w:p w14:paraId="07B5F198" w14:textId="4F71C161" w:rsidR="006F79BD" w:rsidRPr="00392E0D" w:rsidRDefault="00BB146E" w:rsidP="00BB146E">
      <w:pPr>
        <w:pStyle w:val="Body"/>
        <w:rPr>
          <w:rFonts w:cs="Arial"/>
        </w:rPr>
      </w:pPr>
      <w:r w:rsidRPr="00392E0D">
        <w:rPr>
          <w:rFonts w:cs="Arial"/>
        </w:rPr>
        <w:t>The use of this whole-of-school approach led to significant improvements in the school’s 2018 AEDC results on all five domains and the programs became part of business as usual for the school. The school has gone from strength to strength in the years since and 2021 AEDC results show the improvements have continued.</w:t>
      </w:r>
    </w:p>
    <w:p w14:paraId="62FD68D8" w14:textId="245AF304" w:rsidR="00BB146E" w:rsidRPr="00392E0D" w:rsidRDefault="00BB146E" w:rsidP="00BB146E">
      <w:pPr>
        <w:pStyle w:val="Body"/>
        <w:rPr>
          <w:rFonts w:cs="Arial"/>
        </w:rPr>
      </w:pPr>
      <w:r w:rsidRPr="00392E0D">
        <w:rPr>
          <w:rFonts w:cs="Arial"/>
        </w:rPr>
        <w:t xml:space="preserve">For this and other stories visit </w:t>
      </w:r>
      <w:hyperlink r:id="rId21" w:history="1">
        <w:r w:rsidRPr="00392E0D">
          <w:rPr>
            <w:rStyle w:val="Hyperlink"/>
            <w:rFonts w:cs="Arial"/>
            <w:color w:val="000000" w:themeColor="text1"/>
          </w:rPr>
          <w:t>aedc.gov.au/cs</w:t>
        </w:r>
      </w:hyperlink>
    </w:p>
    <w:p w14:paraId="1B887ADA" w14:textId="77777777" w:rsidR="00BB146E" w:rsidRPr="00392E0D" w:rsidRDefault="00BB146E" w:rsidP="00BB146E">
      <w:pPr>
        <w:pStyle w:val="Heading2"/>
        <w:rPr>
          <w:rFonts w:cs="Arial"/>
        </w:rPr>
      </w:pPr>
      <w:r w:rsidRPr="00392E0D">
        <w:rPr>
          <w:rFonts w:cs="Arial"/>
        </w:rPr>
        <w:t>Impacts</w:t>
      </w:r>
      <w:r w:rsidRPr="00392E0D">
        <w:rPr>
          <w:rFonts w:cs="Arial"/>
          <w:spacing w:val="-26"/>
        </w:rPr>
        <w:t xml:space="preserve"> </w:t>
      </w:r>
      <w:r w:rsidRPr="00392E0D">
        <w:rPr>
          <w:rFonts w:cs="Arial"/>
        </w:rPr>
        <w:t>of</w:t>
      </w:r>
      <w:r w:rsidRPr="00392E0D">
        <w:rPr>
          <w:rFonts w:cs="Arial"/>
          <w:spacing w:val="-25"/>
        </w:rPr>
        <w:t xml:space="preserve"> </w:t>
      </w:r>
      <w:r w:rsidRPr="00392E0D">
        <w:rPr>
          <w:rFonts w:cs="Arial"/>
        </w:rPr>
        <w:t>COVID-19</w:t>
      </w:r>
    </w:p>
    <w:p w14:paraId="26689979" w14:textId="77777777" w:rsidR="00BB146E" w:rsidRPr="00392E0D" w:rsidRDefault="00BB146E" w:rsidP="00BB146E">
      <w:pPr>
        <w:pStyle w:val="Body"/>
        <w:rPr>
          <w:rFonts w:cs="Arial"/>
        </w:rPr>
      </w:pPr>
      <w:r w:rsidRPr="00392E0D">
        <w:rPr>
          <w:rFonts w:cs="Arial"/>
        </w:rPr>
        <w:t>In Australia, we have been fortunate that the direct impacts of COVID-19 on young children have not been severe. Although rates of infection started to climb in 2021 following the reduction of public health measures, severe illness in children is still rare. However, the indirect impacts of COVID-19 on children 0-5 years have the potential to be more significant.</w:t>
      </w:r>
    </w:p>
    <w:p w14:paraId="11E70BC8" w14:textId="2DEC6EF2" w:rsidR="00BB146E" w:rsidRPr="00392E0D" w:rsidRDefault="00BB146E" w:rsidP="00BB146E">
      <w:pPr>
        <w:pStyle w:val="Body"/>
        <w:rPr>
          <w:rFonts w:cs="Arial"/>
        </w:rPr>
      </w:pPr>
      <w:r w:rsidRPr="00392E0D">
        <w:rPr>
          <w:rFonts w:cs="Arial"/>
        </w:rPr>
        <w:t>Young children require stability and security for healthy growth and development. Public health measures such as lockdowns, isolation from friends and family, and reduced access to schools and early education and care services significantly changed the environment in which children were living and growing. In addition, job losses, financial instability and fears of contracting COVID-19 have contributed to higher levels of stress and poorer mental health for many Australian parents; variables known to influence family functioning and children’s development</w:t>
      </w:r>
      <w:r w:rsidRPr="00392E0D">
        <w:rPr>
          <w:rStyle w:val="FootnoteReference"/>
          <w:rFonts w:cs="Arial"/>
        </w:rPr>
        <w:footnoteReference w:id="7"/>
      </w:r>
      <w:r w:rsidRPr="00392E0D">
        <w:rPr>
          <w:rFonts w:cs="Arial"/>
        </w:rPr>
        <w:t>.</w:t>
      </w:r>
    </w:p>
    <w:p w14:paraId="61CD7F4A" w14:textId="50299EA5" w:rsidR="003F402F" w:rsidRPr="00392E0D" w:rsidRDefault="003F402F" w:rsidP="003F402F">
      <w:pPr>
        <w:pStyle w:val="Body"/>
        <w:rPr>
          <w:rFonts w:cs="Arial"/>
        </w:rPr>
      </w:pPr>
      <w:r w:rsidRPr="00392E0D">
        <w:rPr>
          <w:rFonts w:cs="Arial"/>
        </w:rPr>
        <w:t xml:space="preserve">For this and other stories visit </w:t>
      </w:r>
      <w:hyperlink r:id="rId22" w:history="1">
        <w:r w:rsidRPr="00392E0D">
          <w:rPr>
            <w:rStyle w:val="Hyperlink"/>
            <w:rFonts w:cs="Arial"/>
            <w:color w:val="000000" w:themeColor="text1"/>
          </w:rPr>
          <w:t>aedc.gov.au/cs</w:t>
        </w:r>
      </w:hyperlink>
    </w:p>
    <w:p w14:paraId="62945278" w14:textId="3898D04C" w:rsidR="00BB146E" w:rsidRPr="00392E0D" w:rsidRDefault="00BB146E" w:rsidP="00BB146E">
      <w:pPr>
        <w:pStyle w:val="Body"/>
        <w:rPr>
          <w:rFonts w:cs="Arial"/>
        </w:rPr>
      </w:pPr>
      <w:r w:rsidRPr="00392E0D">
        <w:rPr>
          <w:rFonts w:cs="Arial"/>
        </w:rPr>
        <w:lastRenderedPageBreak/>
        <w:t>AEDC data from 2021 provides an early insight into the effects that the COVID-19 pandemic may have had on children’s development. While more research and analysis will need to be undertaken to understand the impact of COVID-19, data at the national level suggest the impact may not have been as substantial as expected, with modest increases in developmental vulnerability.</w:t>
      </w:r>
    </w:p>
    <w:p w14:paraId="598B866F" w14:textId="7DA497AC" w:rsidR="00BB146E" w:rsidRPr="00392E0D" w:rsidRDefault="00BB146E" w:rsidP="00BB146E">
      <w:pPr>
        <w:pStyle w:val="Body"/>
        <w:rPr>
          <w:rFonts w:cs="Arial"/>
        </w:rPr>
      </w:pPr>
      <w:r w:rsidRPr="00392E0D">
        <w:rPr>
          <w:rFonts w:cs="Arial"/>
        </w:rPr>
        <w:t>The impact, however, does not appear to have been evenly felt, with larger increases in developmental vulnerability seen for Aboriginal and Torres Strait Islander children and children living in the most disadvantaged areas of Australia.</w:t>
      </w:r>
    </w:p>
    <w:p w14:paraId="58B14643" w14:textId="42D5AF09" w:rsidR="00BB146E" w:rsidRPr="00392E0D" w:rsidRDefault="00BB146E" w:rsidP="00BB146E">
      <w:pPr>
        <w:pStyle w:val="Body"/>
        <w:rPr>
          <w:rFonts w:cs="Arial"/>
        </w:rPr>
      </w:pPr>
      <w:r w:rsidRPr="00392E0D">
        <w:rPr>
          <w:rFonts w:cs="Arial"/>
        </w:rPr>
        <w:t>While evidence of the impacts of COVID-19 is still emerging, these changes in the AEDC highlight the importance of ensuring younger cohorts are well supported over the coming years – with a focus on mitigating impacts for families most affected in their access to employment, social support, and early education and care.</w:t>
      </w:r>
    </w:p>
    <w:p w14:paraId="559D0AAC" w14:textId="67B7F0A3" w:rsidR="003F402F" w:rsidRPr="00392E0D" w:rsidRDefault="003F402F" w:rsidP="003F402F">
      <w:pPr>
        <w:pStyle w:val="Body"/>
        <w:rPr>
          <w:rFonts w:cs="Arial"/>
        </w:rPr>
      </w:pPr>
      <w:r w:rsidRPr="00392E0D">
        <w:rPr>
          <w:rFonts w:cs="Arial"/>
        </w:rPr>
        <w:t xml:space="preserve">For this and other stories visit </w:t>
      </w:r>
      <w:hyperlink r:id="rId23" w:history="1">
        <w:r w:rsidRPr="00392E0D">
          <w:rPr>
            <w:rStyle w:val="Hyperlink"/>
            <w:rFonts w:cs="Arial"/>
            <w:color w:val="000000" w:themeColor="text1"/>
          </w:rPr>
          <w:t>aedc.gov.au/cs</w:t>
        </w:r>
      </w:hyperlink>
    </w:p>
    <w:p w14:paraId="0B9544DC" w14:textId="3DDE3CA3" w:rsidR="00C5752E" w:rsidRPr="00392E0D" w:rsidRDefault="00C5752E" w:rsidP="00C5752E">
      <w:pPr>
        <w:pStyle w:val="Heading2"/>
        <w:rPr>
          <w:rFonts w:cs="Arial"/>
        </w:rPr>
      </w:pPr>
      <w:r w:rsidRPr="00392E0D">
        <w:rPr>
          <w:rFonts w:cs="Arial"/>
        </w:rPr>
        <w:t>Measuring Impact – ACT Aboriginal and Torres Strait Islander Agreement 2019-2028</w:t>
      </w:r>
    </w:p>
    <w:p w14:paraId="787F6CE2" w14:textId="77777777" w:rsidR="00C5752E" w:rsidRPr="00392E0D" w:rsidRDefault="00C5752E" w:rsidP="00C5752E">
      <w:pPr>
        <w:pStyle w:val="Body"/>
        <w:rPr>
          <w:rFonts w:cs="Arial"/>
        </w:rPr>
      </w:pPr>
      <w:r w:rsidRPr="00392E0D">
        <w:rPr>
          <w:rFonts w:cs="Arial"/>
        </w:rPr>
        <w:t>The ACT Aboriginal and Torres Strait Islander Agreement 2019–2028 (the Agreement) upholds the principle of self-determination and supports Canberra’s Aboriginal and Torres Strait Islander communities to influence and participate in social, cultural and economic life.</w:t>
      </w:r>
    </w:p>
    <w:p w14:paraId="4B810673" w14:textId="77777777" w:rsidR="00C5752E" w:rsidRPr="00392E0D" w:rsidRDefault="00C5752E" w:rsidP="00C5752E">
      <w:pPr>
        <w:pStyle w:val="Body"/>
        <w:rPr>
          <w:rFonts w:cs="Arial"/>
        </w:rPr>
      </w:pPr>
      <w:r w:rsidRPr="00392E0D">
        <w:rPr>
          <w:rFonts w:cs="Arial"/>
        </w:rPr>
        <w:t xml:space="preserve">The Agreement was developed through extensive conversations with the community. Children and Young People are one of the four core areas in the Agreement, </w:t>
      </w:r>
      <w:proofErr w:type="spellStart"/>
      <w:r w:rsidRPr="00392E0D">
        <w:rPr>
          <w:rFonts w:cs="Arial"/>
        </w:rPr>
        <w:t>focussing</w:t>
      </w:r>
      <w:proofErr w:type="spellEnd"/>
      <w:r w:rsidRPr="00392E0D">
        <w:rPr>
          <w:rFonts w:cs="Arial"/>
        </w:rPr>
        <w:t xml:space="preserve"> on Aboriginal and Torres Strait Islander children and young people growing up safely in their families and communities.</w:t>
      </w:r>
    </w:p>
    <w:p w14:paraId="2FE1366E" w14:textId="77777777" w:rsidR="00C5752E" w:rsidRPr="00392E0D" w:rsidRDefault="00C5752E" w:rsidP="00C5752E">
      <w:pPr>
        <w:pStyle w:val="Body"/>
        <w:rPr>
          <w:rFonts w:cs="Arial"/>
        </w:rPr>
      </w:pPr>
      <w:r w:rsidRPr="00392E0D">
        <w:rPr>
          <w:rFonts w:cs="Arial"/>
        </w:rPr>
        <w:t xml:space="preserve">The Outcomes Framework has been developed to track performance with the AEDC being </w:t>
      </w:r>
      <w:proofErr w:type="spellStart"/>
      <w:r w:rsidRPr="00392E0D">
        <w:rPr>
          <w:rFonts w:cs="Arial"/>
        </w:rPr>
        <w:t>recognised</w:t>
      </w:r>
      <w:proofErr w:type="spellEnd"/>
      <w:r w:rsidRPr="00392E0D">
        <w:rPr>
          <w:rFonts w:cs="Arial"/>
        </w:rPr>
        <w:t xml:space="preserve"> as a key predictor of future outcomes for children and aligning with the use of the AEDC on track on five </w:t>
      </w:r>
      <w:proofErr w:type="gramStart"/>
      <w:r w:rsidRPr="00392E0D">
        <w:rPr>
          <w:rFonts w:cs="Arial"/>
        </w:rPr>
        <w:t>measure</w:t>
      </w:r>
      <w:proofErr w:type="gramEnd"/>
      <w:r w:rsidRPr="00392E0D">
        <w:rPr>
          <w:rFonts w:cs="Arial"/>
        </w:rPr>
        <w:t xml:space="preserve"> in Closing the Gap.</w:t>
      </w:r>
    </w:p>
    <w:p w14:paraId="6DF1ECD4" w14:textId="77777777" w:rsidR="00C5752E" w:rsidRPr="00392E0D" w:rsidRDefault="00C5752E" w:rsidP="00C5752E">
      <w:pPr>
        <w:pStyle w:val="Body"/>
        <w:rPr>
          <w:rFonts w:cs="Arial"/>
        </w:rPr>
      </w:pPr>
      <w:r w:rsidRPr="00392E0D">
        <w:rPr>
          <w:rFonts w:cs="Arial"/>
        </w:rPr>
        <w:t>The Outcomes Framework is continuing to be developed using the AEDC measure, alongside other measures to allow annual tracking of progress such as Kindergarten Health Check.</w:t>
      </w:r>
    </w:p>
    <w:p w14:paraId="2129DA14" w14:textId="77777777" w:rsidR="00C5752E" w:rsidRPr="00392E0D" w:rsidRDefault="00C5752E" w:rsidP="00C5752E">
      <w:pPr>
        <w:pStyle w:val="Heading2"/>
        <w:rPr>
          <w:rFonts w:cs="Arial"/>
        </w:rPr>
      </w:pPr>
      <w:r w:rsidRPr="00392E0D">
        <w:rPr>
          <w:rFonts w:cs="Arial"/>
        </w:rPr>
        <w:t>Queensland’s Education and Health Partnership aims to reduce developmental vulnerability</w:t>
      </w:r>
    </w:p>
    <w:p w14:paraId="3C27A196" w14:textId="13432A5F" w:rsidR="00C5752E" w:rsidRPr="00392E0D" w:rsidRDefault="00C5752E" w:rsidP="00C5752E">
      <w:pPr>
        <w:pStyle w:val="Body"/>
        <w:rPr>
          <w:rFonts w:cs="Arial"/>
        </w:rPr>
      </w:pPr>
      <w:r w:rsidRPr="00392E0D">
        <w:rPr>
          <w:rFonts w:cs="Arial"/>
        </w:rPr>
        <w:t xml:space="preserve">A Great Start for all Queensland Children: An Early Years Plan for Queensland is a whole of-government early years plan for Queensland, setting out the state’s vision for children in their early years and placing children at the </w:t>
      </w:r>
      <w:proofErr w:type="spellStart"/>
      <w:r w:rsidRPr="00392E0D">
        <w:rPr>
          <w:rFonts w:cs="Arial"/>
        </w:rPr>
        <w:t>centre</w:t>
      </w:r>
      <w:proofErr w:type="spellEnd"/>
      <w:r w:rsidRPr="00392E0D">
        <w:rPr>
          <w:rFonts w:cs="Arial"/>
        </w:rPr>
        <w:t xml:space="preserve"> of community responses. One key priority is to improve wellbeing prior to school, by reducing developmental vulnerability on one or more of the AEDC domains to 22% by 2025.</w:t>
      </w:r>
    </w:p>
    <w:p w14:paraId="576EC079" w14:textId="77777777" w:rsidR="00C5752E" w:rsidRPr="00392E0D" w:rsidRDefault="00C5752E" w:rsidP="00C5752E">
      <w:pPr>
        <w:pStyle w:val="Body"/>
        <w:rPr>
          <w:rFonts w:cs="Arial"/>
        </w:rPr>
      </w:pPr>
      <w:r w:rsidRPr="00392E0D">
        <w:rPr>
          <w:rFonts w:cs="Arial"/>
        </w:rPr>
        <w:t>Research shows that a reduction at a population level can only be achieved by a sustained and coordinated effort and is best served by a partnership approach. Queensland Department of Education and Children’s Health Queensland have been strengthening their cross-sector partnership by working collaboratively across a range of strategies and actions to support children and families.</w:t>
      </w:r>
    </w:p>
    <w:p w14:paraId="47773533" w14:textId="04AF59DB" w:rsidR="00C5752E" w:rsidRPr="00392E0D" w:rsidRDefault="00C5752E" w:rsidP="00C5752E">
      <w:pPr>
        <w:pStyle w:val="Body"/>
        <w:rPr>
          <w:rFonts w:cs="Arial"/>
        </w:rPr>
      </w:pPr>
      <w:r w:rsidRPr="00392E0D">
        <w:rPr>
          <w:rFonts w:cs="Arial"/>
        </w:rPr>
        <w:t>The partnership revolves around the intersection of research, data, policy and practice to identify collective action opportunities that work towards achieving the state’s vision for all Queensland children to have a great start in life and reach their full potential.</w:t>
      </w:r>
    </w:p>
    <w:p w14:paraId="44B1C8B6" w14:textId="16978F1C" w:rsidR="003F402F" w:rsidRPr="00392E0D" w:rsidRDefault="003F402F" w:rsidP="003F402F">
      <w:pPr>
        <w:pStyle w:val="Body"/>
        <w:rPr>
          <w:rFonts w:cs="Arial"/>
        </w:rPr>
      </w:pPr>
      <w:r w:rsidRPr="00392E0D">
        <w:rPr>
          <w:rFonts w:cs="Arial"/>
        </w:rPr>
        <w:t xml:space="preserve">For this and other stories visit </w:t>
      </w:r>
      <w:hyperlink r:id="rId24" w:history="1">
        <w:r w:rsidRPr="00392E0D">
          <w:rPr>
            <w:rStyle w:val="Hyperlink"/>
            <w:rFonts w:cs="Arial"/>
            <w:color w:val="000000" w:themeColor="text1"/>
          </w:rPr>
          <w:t>aedc.gov.au/cs</w:t>
        </w:r>
      </w:hyperlink>
    </w:p>
    <w:p w14:paraId="176982B9" w14:textId="77777777" w:rsidR="003F402F" w:rsidRPr="00392E0D" w:rsidRDefault="003F402F">
      <w:pPr>
        <w:widowControl/>
        <w:autoSpaceDE/>
        <w:autoSpaceDN/>
        <w:rPr>
          <w:rFonts w:ascii="Arial" w:eastAsia="Times New Roman" w:hAnsi="Arial" w:cs="Arial"/>
          <w:sz w:val="21"/>
          <w:szCs w:val="20"/>
        </w:rPr>
      </w:pPr>
      <w:r w:rsidRPr="00392E0D">
        <w:rPr>
          <w:rFonts w:ascii="Arial" w:hAnsi="Arial" w:cs="Arial"/>
        </w:rPr>
        <w:br w:type="page"/>
      </w:r>
    </w:p>
    <w:p w14:paraId="54410353" w14:textId="6A036A28" w:rsidR="003F402F" w:rsidRPr="00392E0D" w:rsidRDefault="003F402F" w:rsidP="001E1A5B">
      <w:pPr>
        <w:pStyle w:val="Heading1"/>
        <w:rPr>
          <w:rFonts w:cs="Arial"/>
        </w:rPr>
      </w:pPr>
      <w:bookmarkStart w:id="8" w:name="_Toc99530571"/>
      <w:r w:rsidRPr="00392E0D">
        <w:rPr>
          <w:rFonts w:cs="Arial"/>
        </w:rPr>
        <w:lastRenderedPageBreak/>
        <w:t>Focus on equity groups</w:t>
      </w:r>
      <w:bookmarkEnd w:id="8"/>
    </w:p>
    <w:p w14:paraId="200C6B9B" w14:textId="5D2061BF" w:rsidR="003F402F" w:rsidRPr="00392E0D" w:rsidRDefault="003F402F" w:rsidP="001E1A5B">
      <w:pPr>
        <w:pStyle w:val="Heading1"/>
        <w:rPr>
          <w:rFonts w:cs="Arial"/>
        </w:rPr>
      </w:pPr>
      <w:bookmarkStart w:id="9" w:name="_Toc99530572"/>
      <w:r w:rsidRPr="00392E0D">
        <w:rPr>
          <w:rFonts w:cs="Arial"/>
        </w:rPr>
        <w:t>Aboriginal and Torres Strait Islander children</w:t>
      </w:r>
      <w:bookmarkEnd w:id="9"/>
    </w:p>
    <w:p w14:paraId="0C67393D" w14:textId="77777777" w:rsidR="003F402F" w:rsidRPr="00392E0D" w:rsidRDefault="003F402F" w:rsidP="003F402F">
      <w:pPr>
        <w:pStyle w:val="Heading2"/>
        <w:rPr>
          <w:rFonts w:cs="Arial"/>
        </w:rPr>
      </w:pPr>
      <w:r w:rsidRPr="00392E0D">
        <w:rPr>
          <w:rFonts w:cs="Arial"/>
        </w:rPr>
        <w:t>Summary indicators</w:t>
      </w:r>
    </w:p>
    <w:p w14:paraId="6F0B8C2F" w14:textId="2CB06A33" w:rsidR="003F402F" w:rsidRPr="00392E0D" w:rsidRDefault="003F402F" w:rsidP="003F402F">
      <w:pPr>
        <w:pStyle w:val="Body"/>
        <w:rPr>
          <w:rFonts w:cs="Arial"/>
        </w:rPr>
      </w:pPr>
      <w:r w:rsidRPr="00392E0D">
        <w:rPr>
          <w:rFonts w:cs="Arial"/>
        </w:rPr>
        <w:t xml:space="preserve">The percentage of Aboriginal and Torres Strait Islander children who were developmentally vulnerable on one or more domain(s) (DV1) increased by 1.0 percentage point from 41.3 per cent in 2018 to 42.3 per cent in 2021, as shown in </w:t>
      </w:r>
      <w:r w:rsidR="004A4EC9">
        <w:rPr>
          <w:rFonts w:cs="Arial"/>
        </w:rPr>
        <w:t>Table 11</w:t>
      </w:r>
      <w:r w:rsidRPr="00392E0D">
        <w:rPr>
          <w:rFonts w:cs="Arial"/>
        </w:rPr>
        <w:t xml:space="preserve"> Similarly, the percentage of children who were developmentally vulnerable on two or more domains (DV2) increased by 0.7 percentage points from 25.8 per cent in 2018 to 26.5 per cent.</w:t>
      </w:r>
    </w:p>
    <w:p w14:paraId="13B0D483" w14:textId="35D2E816" w:rsidR="003F402F" w:rsidRPr="00392E0D" w:rsidRDefault="004A4EC9" w:rsidP="003F402F">
      <w:pPr>
        <w:pStyle w:val="Body"/>
        <w:rPr>
          <w:rFonts w:cs="Arial"/>
        </w:rPr>
      </w:pPr>
      <w:r>
        <w:rPr>
          <w:rFonts w:cs="Arial"/>
        </w:rPr>
        <w:t>Table</w:t>
      </w:r>
      <w:r w:rsidR="003F402F" w:rsidRPr="00392E0D">
        <w:rPr>
          <w:rFonts w:cs="Arial"/>
        </w:rPr>
        <w:t xml:space="preserve"> 1</w:t>
      </w:r>
      <w:r>
        <w:rPr>
          <w:rFonts w:cs="Arial"/>
        </w:rPr>
        <w:t>3</w:t>
      </w:r>
      <w:r w:rsidR="003F402F" w:rsidRPr="00392E0D">
        <w:rPr>
          <w:rFonts w:cs="Arial"/>
        </w:rPr>
        <w:t xml:space="preserve"> illustrates that the percentage of Aboriginal and Torres Strait Islander children assessed as developmentally on track on all five domains (OT5) of the AEDC declined from 35.2 per cent in 2018 to 34.3 per cent in 2021. These results are reflective of the multiple barriers that Aboriginal and Torres Strait Islander children face including greater socio-economic disadvantage.</w:t>
      </w:r>
    </w:p>
    <w:p w14:paraId="7472A88E" w14:textId="4F59DC3E" w:rsidR="003F402F" w:rsidRPr="00392E0D" w:rsidRDefault="003F402F" w:rsidP="003F402F">
      <w:pPr>
        <w:pStyle w:val="Body"/>
        <w:rPr>
          <w:rFonts w:cs="Arial"/>
        </w:rPr>
      </w:pPr>
      <w:r w:rsidRPr="00392E0D">
        <w:rPr>
          <w:rFonts w:cs="Arial"/>
        </w:rPr>
        <w:t>This measure is the source of a new Closing the Gap Target 4 for the outcome ‘children thrive in their early years’ (</w:t>
      </w:r>
      <w:hyperlink r:id="rId25" w:history="1">
        <w:r w:rsidRPr="00392E0D">
          <w:rPr>
            <w:rStyle w:val="Hyperlink"/>
            <w:rFonts w:cs="Arial"/>
            <w:color w:val="000000" w:themeColor="text1"/>
          </w:rPr>
          <w:t>pc.gov.au/closing-the-gap- data/dashboard/socioeconomic/outcome- area4</w:t>
        </w:r>
      </w:hyperlink>
      <w:r w:rsidRPr="00392E0D">
        <w:rPr>
          <w:rFonts w:cs="Arial"/>
        </w:rPr>
        <w:t xml:space="preserve"> ).</w:t>
      </w:r>
    </w:p>
    <w:p w14:paraId="6DB94A78" w14:textId="77777777" w:rsidR="003F402F" w:rsidRPr="00392E0D" w:rsidRDefault="003F402F" w:rsidP="003F402F">
      <w:pPr>
        <w:pStyle w:val="Body"/>
        <w:rPr>
          <w:rFonts w:cs="Arial"/>
        </w:rPr>
      </w:pPr>
      <w:r w:rsidRPr="00392E0D">
        <w:rPr>
          <w:rFonts w:cs="Arial"/>
        </w:rPr>
        <w:t>The target is:</w:t>
      </w:r>
    </w:p>
    <w:p w14:paraId="786ACA50" w14:textId="77777777" w:rsidR="003F402F" w:rsidRPr="00392E0D" w:rsidRDefault="003F402F" w:rsidP="003F402F">
      <w:pPr>
        <w:pStyle w:val="Bullets1"/>
        <w:rPr>
          <w:rFonts w:cs="Arial"/>
        </w:rPr>
      </w:pPr>
      <w:r w:rsidRPr="00392E0D">
        <w:rPr>
          <w:rFonts w:cs="Arial"/>
        </w:rPr>
        <w:t>By 2031, increase the percentage of Aboriginal and Torres Strait Islander children assessed as developmentally on track in all five domains of the AEDC to 55 per cent.</w:t>
      </w:r>
    </w:p>
    <w:p w14:paraId="3F2FA26B" w14:textId="73304718" w:rsidR="003F402F" w:rsidRPr="00392E0D" w:rsidRDefault="003F402F" w:rsidP="003F402F">
      <w:pPr>
        <w:pStyle w:val="Body"/>
        <w:rPr>
          <w:rFonts w:cs="Arial"/>
        </w:rPr>
      </w:pPr>
      <w:r w:rsidRPr="00392E0D">
        <w:rPr>
          <w:rFonts w:cs="Arial"/>
        </w:rPr>
        <w:t>The percentage of non-Indigenous children developmentally on track on five domains in 2021 also decreased but only by 0.5 percentage points, widening the gap between Aboriginal and Torres Strait Islander children and non-Indigenous children to 21.9 per cent.</w:t>
      </w:r>
    </w:p>
    <w:p w14:paraId="64887466" w14:textId="77777777" w:rsidR="003F402F" w:rsidRPr="00392E0D" w:rsidRDefault="003F402F" w:rsidP="003F402F">
      <w:pPr>
        <w:pStyle w:val="Heading2"/>
        <w:rPr>
          <w:rFonts w:cs="Arial"/>
        </w:rPr>
      </w:pPr>
      <w:r w:rsidRPr="00392E0D">
        <w:rPr>
          <w:rFonts w:cs="Arial"/>
        </w:rPr>
        <w:t>Results by domains</w:t>
      </w:r>
    </w:p>
    <w:p w14:paraId="61E64EC2" w14:textId="16B7977E" w:rsidR="003F402F" w:rsidRPr="00392E0D" w:rsidRDefault="003F402F" w:rsidP="003F402F">
      <w:pPr>
        <w:pStyle w:val="Body"/>
        <w:rPr>
          <w:rFonts w:cs="Arial"/>
        </w:rPr>
      </w:pPr>
      <w:r w:rsidRPr="00392E0D">
        <w:rPr>
          <w:rFonts w:cs="Arial"/>
        </w:rPr>
        <w:t>For any given AEDC domain, the majority, about six in ten, of Aboriginal and Torres Strait Islander children are developmentally on track on each of the AEDC domains, about two in ten are developmentally vulnerable on each domain and a similar percentage are developmentally at risk (see Table</w:t>
      </w:r>
      <w:r w:rsidR="00AC5F37">
        <w:rPr>
          <w:rFonts w:cs="Arial"/>
        </w:rPr>
        <w:t>s</w:t>
      </w:r>
      <w:r w:rsidRPr="00392E0D">
        <w:rPr>
          <w:rFonts w:cs="Arial"/>
        </w:rPr>
        <w:t xml:space="preserve"> </w:t>
      </w:r>
      <w:r w:rsidR="00AC5F37">
        <w:rPr>
          <w:rFonts w:cs="Arial"/>
        </w:rPr>
        <w:t>14 - 18</w:t>
      </w:r>
      <w:r w:rsidRPr="00392E0D">
        <w:rPr>
          <w:rFonts w:cs="Arial"/>
        </w:rPr>
        <w:t>).</w:t>
      </w:r>
    </w:p>
    <w:p w14:paraId="2C1B6B5D" w14:textId="7EDF5A90" w:rsidR="003F402F" w:rsidRPr="00392E0D" w:rsidRDefault="003F402F" w:rsidP="003F402F">
      <w:pPr>
        <w:pStyle w:val="Body"/>
        <w:rPr>
          <w:rFonts w:cs="Arial"/>
        </w:rPr>
      </w:pPr>
      <w:r w:rsidRPr="00392E0D">
        <w:rPr>
          <w:rFonts w:cs="Arial"/>
        </w:rPr>
        <w:t xml:space="preserve">The </w:t>
      </w:r>
      <w:r w:rsidRPr="00392E0D">
        <w:rPr>
          <w:rFonts w:cs="Arial"/>
          <w:b/>
          <w:bCs/>
        </w:rPr>
        <w:t>language and cognitive skills domain</w:t>
      </w:r>
      <w:r w:rsidRPr="00392E0D">
        <w:rPr>
          <w:rFonts w:cs="Arial"/>
        </w:rPr>
        <w:t xml:space="preserve"> </w:t>
      </w:r>
      <w:proofErr w:type="gramStart"/>
      <w:r w:rsidRPr="00392E0D">
        <w:rPr>
          <w:rFonts w:cs="Arial"/>
        </w:rPr>
        <w:t>was</w:t>
      </w:r>
      <w:proofErr w:type="gramEnd"/>
      <w:r w:rsidRPr="00392E0D">
        <w:rPr>
          <w:rFonts w:cs="Arial"/>
        </w:rPr>
        <w:t xml:space="preserve"> the main driver of the decline in OT5 in 2021 among Aboriginal and Torres Strait Islander children, with a 3.2 percentage point decrease in children on track on this domain (from 62.6 per cent in 2018 to 59.4 per cent). There was also a significant increase in the percentage of children at risk (1.4 percentage points) and developmentally vulnerable (1.8 percentage points) on this domain in 2021.</w:t>
      </w:r>
    </w:p>
    <w:p w14:paraId="32F2A867" w14:textId="77777777" w:rsidR="003F402F" w:rsidRPr="00392E0D" w:rsidRDefault="003F402F" w:rsidP="003F402F">
      <w:pPr>
        <w:pStyle w:val="Body"/>
        <w:rPr>
          <w:rFonts w:cs="Arial"/>
        </w:rPr>
      </w:pPr>
      <w:r w:rsidRPr="00392E0D">
        <w:rPr>
          <w:rFonts w:cs="Arial"/>
        </w:rPr>
        <w:t>The decline seen on this domain in 2021 is, however, relatively minor compared to the considerable gains that have been achieved since baseline, when only 48.0 per cent of Aboriginal and Torres Strait Islander children were developmentally on track.</w:t>
      </w:r>
    </w:p>
    <w:p w14:paraId="2165D4D4" w14:textId="7959DE2D" w:rsidR="003F402F" w:rsidRPr="00392E0D" w:rsidRDefault="003F402F" w:rsidP="003F402F">
      <w:pPr>
        <w:pStyle w:val="Body"/>
        <w:rPr>
          <w:rFonts w:cs="Arial"/>
        </w:rPr>
      </w:pPr>
      <w:r w:rsidRPr="00392E0D">
        <w:rPr>
          <w:rFonts w:cs="Arial"/>
        </w:rPr>
        <w:t xml:space="preserve">There was a small yet significant decrease in Aboriginal and Torres Strait Islander children on track on the </w:t>
      </w:r>
      <w:r w:rsidRPr="00392E0D">
        <w:rPr>
          <w:rFonts w:cs="Arial"/>
          <w:b/>
          <w:bCs/>
        </w:rPr>
        <w:t>emotional maturity domain</w:t>
      </w:r>
      <w:r w:rsidRPr="00392E0D">
        <w:rPr>
          <w:rFonts w:cs="Arial"/>
        </w:rPr>
        <w:t xml:space="preserve"> (0.4 percentage points) plus a</w:t>
      </w:r>
      <w:r w:rsidR="000C2F6B">
        <w:rPr>
          <w:rFonts w:cs="Arial"/>
        </w:rPr>
        <w:t>n</w:t>
      </w:r>
      <w:r w:rsidRPr="00392E0D">
        <w:rPr>
          <w:rFonts w:cs="Arial"/>
        </w:rPr>
        <w:t xml:space="preserve"> (non-significant) increase in vulnerability of 0.3 percentage points.</w:t>
      </w:r>
    </w:p>
    <w:p w14:paraId="5AA2961E" w14:textId="77777777" w:rsidR="003F402F" w:rsidRPr="00392E0D" w:rsidRDefault="003F402F" w:rsidP="003F402F">
      <w:pPr>
        <w:pStyle w:val="Body"/>
        <w:rPr>
          <w:rFonts w:cs="Arial"/>
        </w:rPr>
      </w:pPr>
      <w:r w:rsidRPr="00392E0D">
        <w:rPr>
          <w:rFonts w:cs="Arial"/>
        </w:rPr>
        <w:t>On the physical health and wellbeing domain, the percentage of Aboriginal and Torres Strait Islander children on track was unchanged but vulnerability increased by 0.6 percentage points, returning to baseline level (21.9 per cent).</w:t>
      </w:r>
    </w:p>
    <w:p w14:paraId="2A65D338" w14:textId="77777777" w:rsidR="003F402F" w:rsidRPr="00392E0D" w:rsidRDefault="003F402F" w:rsidP="003F402F">
      <w:pPr>
        <w:pStyle w:val="Body"/>
        <w:rPr>
          <w:rFonts w:cs="Arial"/>
        </w:rPr>
      </w:pPr>
      <w:r w:rsidRPr="00392E0D">
        <w:rPr>
          <w:rFonts w:cs="Arial"/>
        </w:rPr>
        <w:t xml:space="preserve">There was further improvement in the </w:t>
      </w:r>
      <w:r w:rsidRPr="00392E0D">
        <w:rPr>
          <w:rFonts w:cs="Arial"/>
          <w:b/>
          <w:bCs/>
        </w:rPr>
        <w:t>communication and general knowledge domain</w:t>
      </w:r>
      <w:r w:rsidRPr="00392E0D">
        <w:rPr>
          <w:rFonts w:cs="Arial"/>
        </w:rPr>
        <w:t xml:space="preserve"> in 2021, with the percentage of Aboriginal and Torres Strait Islander children on track increasing by 0.9 percentage points and vulnerability decreasing by 0.5 percentage points.</w:t>
      </w:r>
    </w:p>
    <w:p w14:paraId="3E52B3FA" w14:textId="01517CAA" w:rsidR="003F402F" w:rsidRPr="00392E0D" w:rsidRDefault="003F402F" w:rsidP="003F402F">
      <w:pPr>
        <w:pStyle w:val="Body"/>
        <w:rPr>
          <w:rFonts w:cs="Arial"/>
        </w:rPr>
      </w:pPr>
      <w:r w:rsidRPr="00392E0D">
        <w:rPr>
          <w:rFonts w:cs="Arial"/>
        </w:rPr>
        <w:t xml:space="preserve">For the </w:t>
      </w:r>
      <w:r w:rsidRPr="00392E0D">
        <w:rPr>
          <w:rFonts w:cs="Arial"/>
          <w:b/>
          <w:bCs/>
        </w:rPr>
        <w:t>social competence domain</w:t>
      </w:r>
      <w:r w:rsidRPr="00392E0D">
        <w:rPr>
          <w:rFonts w:cs="Arial"/>
        </w:rPr>
        <w:t>, there was a small yet significant decrease in vulnerability in 2021 (0.5 percentage points), a trend that has continued since 2015.</w:t>
      </w:r>
    </w:p>
    <w:p w14:paraId="2E2839AF" w14:textId="77777777" w:rsidR="003F402F" w:rsidRPr="00392E0D" w:rsidRDefault="003F402F">
      <w:pPr>
        <w:widowControl/>
        <w:autoSpaceDE/>
        <w:autoSpaceDN/>
        <w:rPr>
          <w:rFonts w:ascii="Arial" w:eastAsia="Times New Roman" w:hAnsi="Arial" w:cs="Arial"/>
          <w:sz w:val="21"/>
          <w:szCs w:val="20"/>
        </w:rPr>
      </w:pPr>
      <w:r w:rsidRPr="00392E0D">
        <w:rPr>
          <w:rFonts w:ascii="Arial" w:hAnsi="Arial" w:cs="Arial"/>
        </w:rPr>
        <w:br w:type="page"/>
      </w:r>
    </w:p>
    <w:p w14:paraId="797E6765" w14:textId="45894EC8" w:rsidR="003F402F" w:rsidRPr="00392E0D" w:rsidRDefault="003F402F" w:rsidP="003F402F">
      <w:pPr>
        <w:pStyle w:val="Heading2"/>
        <w:rPr>
          <w:rFonts w:cs="Arial"/>
        </w:rPr>
      </w:pPr>
      <w:r w:rsidRPr="00392E0D">
        <w:rPr>
          <w:rFonts w:cs="Arial"/>
        </w:rPr>
        <w:lastRenderedPageBreak/>
        <w:t>Summary indicators</w:t>
      </w:r>
    </w:p>
    <w:p w14:paraId="1FBD145D" w14:textId="769518D6" w:rsidR="003F402F" w:rsidRPr="00392E0D" w:rsidRDefault="003F402F" w:rsidP="00840C9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w:t>
      </w:r>
      <w:r w:rsidRPr="00392E0D">
        <w:rPr>
          <w:rFonts w:cs="Arial"/>
        </w:rPr>
        <w:fldChar w:fldCharType="end"/>
      </w:r>
      <w:r w:rsidRPr="00392E0D">
        <w:rPr>
          <w:rFonts w:cs="Arial"/>
        </w:rPr>
        <w:tab/>
      </w:r>
      <w:r w:rsidRPr="00392E0D">
        <w:rPr>
          <w:rFonts w:eastAsiaTheme="minorHAnsi" w:cs="Arial"/>
          <w:lang w:val="en-AU"/>
        </w:rPr>
        <w:t>Summary indicators by collection cycle, Aboriginal and Torres Strait Islander children - Developmentally vulnerable on one or more domain(s)</w:t>
      </w:r>
    </w:p>
    <w:tbl>
      <w:tblPr>
        <w:tblStyle w:val="TableGrid"/>
        <w:tblW w:w="5846" w:type="dxa"/>
        <w:tblLayout w:type="fixed"/>
        <w:tblLook w:val="0020" w:firstRow="1" w:lastRow="0" w:firstColumn="0" w:lastColumn="0" w:noHBand="0" w:noVBand="0"/>
      </w:tblPr>
      <w:tblGrid>
        <w:gridCol w:w="974"/>
        <w:gridCol w:w="975"/>
        <w:gridCol w:w="974"/>
        <w:gridCol w:w="975"/>
        <w:gridCol w:w="974"/>
        <w:gridCol w:w="974"/>
      </w:tblGrid>
      <w:tr w:rsidR="003F402F" w:rsidRPr="00392E0D" w14:paraId="2F002902" w14:textId="77777777" w:rsidTr="007F735D">
        <w:trPr>
          <w:trHeight w:val="287"/>
          <w:tblHeader/>
        </w:trPr>
        <w:tc>
          <w:tcPr>
            <w:tcW w:w="974" w:type="dxa"/>
          </w:tcPr>
          <w:p w14:paraId="77AF95ED" w14:textId="77777777" w:rsidR="003F402F" w:rsidRPr="00392E0D" w:rsidRDefault="003F402F" w:rsidP="00020189">
            <w:pPr>
              <w:widowControl/>
              <w:adjustRightInd w:val="0"/>
              <w:rPr>
                <w:rFonts w:ascii="Arial" w:eastAsiaTheme="minorHAnsi" w:hAnsi="Arial" w:cs="Arial"/>
                <w:color w:val="000000"/>
                <w:sz w:val="20"/>
                <w:szCs w:val="20"/>
                <w:lang w:val="en-AU"/>
              </w:rPr>
            </w:pPr>
          </w:p>
        </w:tc>
        <w:tc>
          <w:tcPr>
            <w:tcW w:w="975" w:type="dxa"/>
          </w:tcPr>
          <w:p w14:paraId="2617A839"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4" w:type="dxa"/>
          </w:tcPr>
          <w:p w14:paraId="749D67BF"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Pr>
          <w:p w14:paraId="55A210CF"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4" w:type="dxa"/>
          </w:tcPr>
          <w:p w14:paraId="456BA9F1"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Pr>
          <w:p w14:paraId="4E636D19"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F402F" w:rsidRPr="00392E0D" w14:paraId="57D27BBD" w14:textId="77777777" w:rsidTr="007F735D">
        <w:trPr>
          <w:trHeight w:val="287"/>
        </w:trPr>
        <w:tc>
          <w:tcPr>
            <w:tcW w:w="974" w:type="dxa"/>
          </w:tcPr>
          <w:p w14:paraId="343206C5" w14:textId="5937DD35" w:rsidR="003F402F" w:rsidRPr="00392E0D" w:rsidRDefault="009B7612"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5" w:type="dxa"/>
          </w:tcPr>
          <w:p w14:paraId="7E3A939F"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5,309</w:t>
            </w:r>
          </w:p>
        </w:tc>
        <w:tc>
          <w:tcPr>
            <w:tcW w:w="974" w:type="dxa"/>
          </w:tcPr>
          <w:p w14:paraId="283E35B9"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6,057</w:t>
            </w:r>
          </w:p>
        </w:tc>
        <w:tc>
          <w:tcPr>
            <w:tcW w:w="975" w:type="dxa"/>
          </w:tcPr>
          <w:p w14:paraId="759FB087"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6,681</w:t>
            </w:r>
          </w:p>
        </w:tc>
        <w:tc>
          <w:tcPr>
            <w:tcW w:w="974" w:type="dxa"/>
          </w:tcPr>
          <w:p w14:paraId="0A441F56"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7,225</w:t>
            </w:r>
          </w:p>
        </w:tc>
        <w:tc>
          <w:tcPr>
            <w:tcW w:w="974" w:type="dxa"/>
          </w:tcPr>
          <w:p w14:paraId="7272D61E"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7,828</w:t>
            </w:r>
          </w:p>
        </w:tc>
      </w:tr>
      <w:tr w:rsidR="003F402F" w:rsidRPr="00392E0D" w14:paraId="76C168FD" w14:textId="77777777" w:rsidTr="007F735D">
        <w:trPr>
          <w:trHeight w:val="287"/>
        </w:trPr>
        <w:tc>
          <w:tcPr>
            <w:tcW w:w="974" w:type="dxa"/>
          </w:tcPr>
          <w:p w14:paraId="40E1F234" w14:textId="5AFE7E14" w:rsidR="003F402F" w:rsidRPr="00392E0D" w:rsidRDefault="00513B72"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Pr>
          <w:p w14:paraId="371587FD"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47.4</w:t>
            </w:r>
          </w:p>
        </w:tc>
        <w:tc>
          <w:tcPr>
            <w:tcW w:w="974" w:type="dxa"/>
          </w:tcPr>
          <w:p w14:paraId="500EB93E"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43.2</w:t>
            </w:r>
          </w:p>
        </w:tc>
        <w:tc>
          <w:tcPr>
            <w:tcW w:w="975" w:type="dxa"/>
          </w:tcPr>
          <w:p w14:paraId="5FE57289"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42.1</w:t>
            </w:r>
          </w:p>
        </w:tc>
        <w:tc>
          <w:tcPr>
            <w:tcW w:w="974" w:type="dxa"/>
          </w:tcPr>
          <w:p w14:paraId="0067EB02"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41.3</w:t>
            </w:r>
          </w:p>
        </w:tc>
        <w:tc>
          <w:tcPr>
            <w:tcW w:w="974" w:type="dxa"/>
          </w:tcPr>
          <w:p w14:paraId="2DAF5B28" w14:textId="77777777" w:rsidR="003F402F" w:rsidRPr="00392E0D" w:rsidRDefault="003F402F"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42.3</w:t>
            </w:r>
          </w:p>
        </w:tc>
      </w:tr>
    </w:tbl>
    <w:p w14:paraId="01B56E8B" w14:textId="47179A6F" w:rsidR="003F402F" w:rsidRPr="00392E0D" w:rsidRDefault="003F402F" w:rsidP="00840C9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12</w:t>
      </w:r>
      <w:r w:rsidRPr="00392E0D">
        <w:rPr>
          <w:rFonts w:cs="Arial"/>
        </w:rPr>
        <w:fldChar w:fldCharType="end"/>
      </w:r>
      <w:r w:rsidRPr="00392E0D">
        <w:rPr>
          <w:rFonts w:cs="Arial"/>
        </w:rPr>
        <w:tab/>
      </w:r>
      <w:r w:rsidRPr="00392E0D">
        <w:rPr>
          <w:rFonts w:eastAsiaTheme="minorHAnsi" w:cs="Arial"/>
          <w:lang w:val="en-AU"/>
        </w:rPr>
        <w:t>Summary indicators by collection cycle, Aboriginal and Torres Strait Islander children - Developmentally vulnerable on two or more domains</w:t>
      </w:r>
    </w:p>
    <w:tbl>
      <w:tblPr>
        <w:tblStyle w:val="TableGrid"/>
        <w:tblW w:w="0" w:type="auto"/>
        <w:tblLayout w:type="fixed"/>
        <w:tblLook w:val="0020" w:firstRow="1" w:lastRow="0" w:firstColumn="0" w:lastColumn="0" w:noHBand="0" w:noVBand="0"/>
      </w:tblPr>
      <w:tblGrid>
        <w:gridCol w:w="974"/>
        <w:gridCol w:w="975"/>
        <w:gridCol w:w="974"/>
        <w:gridCol w:w="975"/>
        <w:gridCol w:w="974"/>
        <w:gridCol w:w="974"/>
      </w:tblGrid>
      <w:tr w:rsidR="003F402F" w:rsidRPr="00392E0D" w14:paraId="0ACDE839" w14:textId="77777777" w:rsidTr="007F735D">
        <w:trPr>
          <w:trHeight w:val="287"/>
          <w:tblHeader/>
        </w:trPr>
        <w:tc>
          <w:tcPr>
            <w:tcW w:w="974" w:type="dxa"/>
          </w:tcPr>
          <w:p w14:paraId="6F64F914" w14:textId="77777777" w:rsidR="003F402F" w:rsidRPr="00392E0D" w:rsidRDefault="003F402F">
            <w:pPr>
              <w:widowControl/>
              <w:adjustRightInd w:val="0"/>
              <w:jc w:val="right"/>
              <w:rPr>
                <w:rFonts w:ascii="Arial" w:eastAsiaTheme="minorHAnsi" w:hAnsi="Arial" w:cs="Arial"/>
                <w:color w:val="000000"/>
                <w:sz w:val="20"/>
                <w:szCs w:val="20"/>
                <w:lang w:val="en-AU"/>
              </w:rPr>
            </w:pPr>
          </w:p>
        </w:tc>
        <w:tc>
          <w:tcPr>
            <w:tcW w:w="975" w:type="dxa"/>
          </w:tcPr>
          <w:p w14:paraId="0FB4541A"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4" w:type="dxa"/>
          </w:tcPr>
          <w:p w14:paraId="140B2936"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Pr>
          <w:p w14:paraId="0B38C633"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4" w:type="dxa"/>
          </w:tcPr>
          <w:p w14:paraId="1C18543E"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Pr>
          <w:p w14:paraId="6C648D76"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F402F" w:rsidRPr="00392E0D" w14:paraId="6F4FB492" w14:textId="77777777" w:rsidTr="007F735D">
        <w:trPr>
          <w:trHeight w:val="287"/>
        </w:trPr>
        <w:tc>
          <w:tcPr>
            <w:tcW w:w="974" w:type="dxa"/>
          </w:tcPr>
          <w:p w14:paraId="1852947F" w14:textId="380A5444" w:rsidR="003F402F" w:rsidRPr="00392E0D" w:rsidRDefault="009B7612">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5" w:type="dxa"/>
          </w:tcPr>
          <w:p w14:paraId="3317920C"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3,307</w:t>
            </w:r>
          </w:p>
        </w:tc>
        <w:tc>
          <w:tcPr>
            <w:tcW w:w="974" w:type="dxa"/>
          </w:tcPr>
          <w:p w14:paraId="2A4A9BE5"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3,648</w:t>
            </w:r>
          </w:p>
        </w:tc>
        <w:tc>
          <w:tcPr>
            <w:tcW w:w="975" w:type="dxa"/>
          </w:tcPr>
          <w:p w14:paraId="0B4B6940"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4,157</w:t>
            </w:r>
          </w:p>
        </w:tc>
        <w:tc>
          <w:tcPr>
            <w:tcW w:w="974" w:type="dxa"/>
          </w:tcPr>
          <w:p w14:paraId="6711738C"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4,528</w:t>
            </w:r>
          </w:p>
        </w:tc>
        <w:tc>
          <w:tcPr>
            <w:tcW w:w="974" w:type="dxa"/>
          </w:tcPr>
          <w:p w14:paraId="238A9DA6"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4,901</w:t>
            </w:r>
          </w:p>
        </w:tc>
      </w:tr>
      <w:tr w:rsidR="003F402F" w:rsidRPr="00392E0D" w14:paraId="5AF09AB9" w14:textId="77777777" w:rsidTr="007F735D">
        <w:trPr>
          <w:trHeight w:val="287"/>
        </w:trPr>
        <w:tc>
          <w:tcPr>
            <w:tcW w:w="974" w:type="dxa"/>
          </w:tcPr>
          <w:p w14:paraId="5FCF435E" w14:textId="2027A8C2" w:rsidR="003F402F" w:rsidRPr="00392E0D" w:rsidRDefault="00513B72">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Pr>
          <w:p w14:paraId="2D585094"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29.6</w:t>
            </w:r>
          </w:p>
        </w:tc>
        <w:tc>
          <w:tcPr>
            <w:tcW w:w="974" w:type="dxa"/>
          </w:tcPr>
          <w:p w14:paraId="30181908"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26.0</w:t>
            </w:r>
          </w:p>
        </w:tc>
        <w:tc>
          <w:tcPr>
            <w:tcW w:w="975" w:type="dxa"/>
          </w:tcPr>
          <w:p w14:paraId="27850486"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26.2</w:t>
            </w:r>
          </w:p>
        </w:tc>
        <w:tc>
          <w:tcPr>
            <w:tcW w:w="974" w:type="dxa"/>
          </w:tcPr>
          <w:p w14:paraId="350B607F"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25.8</w:t>
            </w:r>
          </w:p>
        </w:tc>
        <w:tc>
          <w:tcPr>
            <w:tcW w:w="974" w:type="dxa"/>
          </w:tcPr>
          <w:p w14:paraId="1081BD7C"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26.5</w:t>
            </w:r>
          </w:p>
        </w:tc>
      </w:tr>
    </w:tbl>
    <w:p w14:paraId="398D2A24" w14:textId="57D4C081" w:rsidR="003F402F" w:rsidRPr="00392E0D" w:rsidRDefault="003F402F" w:rsidP="00840C9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13</w:t>
      </w:r>
      <w:r w:rsidRPr="00392E0D">
        <w:rPr>
          <w:rFonts w:cs="Arial"/>
        </w:rPr>
        <w:fldChar w:fldCharType="end"/>
      </w:r>
      <w:r w:rsidRPr="00392E0D">
        <w:rPr>
          <w:rFonts w:cs="Arial"/>
        </w:rPr>
        <w:tab/>
      </w:r>
      <w:r w:rsidRPr="00392E0D">
        <w:rPr>
          <w:rFonts w:eastAsiaTheme="minorHAnsi" w:cs="Arial"/>
          <w:lang w:val="en-AU"/>
        </w:rPr>
        <w:t>Summary indicators by collection cycle, Aboriginal and Torres Strait Islander children - Developmentally on track on five domains</w:t>
      </w:r>
    </w:p>
    <w:tbl>
      <w:tblPr>
        <w:tblStyle w:val="TableGrid"/>
        <w:tblW w:w="0" w:type="auto"/>
        <w:tblLayout w:type="fixed"/>
        <w:tblLook w:val="0020" w:firstRow="1" w:lastRow="0" w:firstColumn="0" w:lastColumn="0" w:noHBand="0" w:noVBand="0"/>
      </w:tblPr>
      <w:tblGrid>
        <w:gridCol w:w="974"/>
        <w:gridCol w:w="975"/>
        <w:gridCol w:w="974"/>
        <w:gridCol w:w="975"/>
        <w:gridCol w:w="974"/>
        <w:gridCol w:w="974"/>
      </w:tblGrid>
      <w:tr w:rsidR="003F402F" w:rsidRPr="00392E0D" w14:paraId="2EC2103E" w14:textId="77777777" w:rsidTr="007F735D">
        <w:trPr>
          <w:trHeight w:val="287"/>
          <w:tblHeader/>
        </w:trPr>
        <w:tc>
          <w:tcPr>
            <w:tcW w:w="974" w:type="dxa"/>
          </w:tcPr>
          <w:p w14:paraId="634DA0CA" w14:textId="77777777" w:rsidR="003F402F" w:rsidRPr="00392E0D" w:rsidRDefault="003F402F">
            <w:pPr>
              <w:widowControl/>
              <w:adjustRightInd w:val="0"/>
              <w:jc w:val="right"/>
              <w:rPr>
                <w:rFonts w:ascii="Arial" w:eastAsiaTheme="minorHAnsi" w:hAnsi="Arial" w:cs="Arial"/>
                <w:color w:val="000000"/>
                <w:sz w:val="20"/>
                <w:szCs w:val="20"/>
                <w:lang w:val="en-AU"/>
              </w:rPr>
            </w:pPr>
          </w:p>
        </w:tc>
        <w:tc>
          <w:tcPr>
            <w:tcW w:w="975" w:type="dxa"/>
          </w:tcPr>
          <w:p w14:paraId="341E44C5"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4" w:type="dxa"/>
          </w:tcPr>
          <w:p w14:paraId="0840F5D0"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Pr>
          <w:p w14:paraId="3F22E18A"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4" w:type="dxa"/>
          </w:tcPr>
          <w:p w14:paraId="38332EB8"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Pr>
          <w:p w14:paraId="1E941C8B"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F402F" w:rsidRPr="00392E0D" w14:paraId="26C71F1D" w14:textId="77777777" w:rsidTr="007F735D">
        <w:trPr>
          <w:trHeight w:val="287"/>
        </w:trPr>
        <w:tc>
          <w:tcPr>
            <w:tcW w:w="974" w:type="dxa"/>
          </w:tcPr>
          <w:p w14:paraId="65F5F064" w14:textId="2BC5A907" w:rsidR="003F402F" w:rsidRPr="00392E0D" w:rsidRDefault="009B7612">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5" w:type="dxa"/>
          </w:tcPr>
          <w:p w14:paraId="27140C50"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2,946</w:t>
            </w:r>
          </w:p>
        </w:tc>
        <w:tc>
          <w:tcPr>
            <w:tcW w:w="974" w:type="dxa"/>
          </w:tcPr>
          <w:p w14:paraId="472926B0"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4,487</w:t>
            </w:r>
          </w:p>
        </w:tc>
        <w:tc>
          <w:tcPr>
            <w:tcW w:w="975" w:type="dxa"/>
          </w:tcPr>
          <w:p w14:paraId="10BE0EAC"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5,365</w:t>
            </w:r>
          </w:p>
        </w:tc>
        <w:tc>
          <w:tcPr>
            <w:tcW w:w="974" w:type="dxa"/>
          </w:tcPr>
          <w:p w14:paraId="6645A311"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6,173</w:t>
            </w:r>
          </w:p>
        </w:tc>
        <w:tc>
          <w:tcPr>
            <w:tcW w:w="974" w:type="dxa"/>
          </w:tcPr>
          <w:p w14:paraId="188DA110"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6,358</w:t>
            </w:r>
          </w:p>
        </w:tc>
      </w:tr>
      <w:tr w:rsidR="003F402F" w:rsidRPr="00392E0D" w14:paraId="35F843CF" w14:textId="77777777" w:rsidTr="007F735D">
        <w:trPr>
          <w:trHeight w:val="287"/>
        </w:trPr>
        <w:tc>
          <w:tcPr>
            <w:tcW w:w="974" w:type="dxa"/>
          </w:tcPr>
          <w:p w14:paraId="400157A1" w14:textId="0FC321E5" w:rsidR="003F402F" w:rsidRPr="00392E0D" w:rsidRDefault="00513B72">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Pr>
          <w:p w14:paraId="0E8B88E4"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26.3</w:t>
            </w:r>
          </w:p>
        </w:tc>
        <w:tc>
          <w:tcPr>
            <w:tcW w:w="974" w:type="dxa"/>
          </w:tcPr>
          <w:p w14:paraId="1A0F5EA8"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w:t>
            </w:r>
          </w:p>
        </w:tc>
        <w:tc>
          <w:tcPr>
            <w:tcW w:w="975" w:type="dxa"/>
          </w:tcPr>
          <w:p w14:paraId="5AAF25FA"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33.8</w:t>
            </w:r>
          </w:p>
        </w:tc>
        <w:tc>
          <w:tcPr>
            <w:tcW w:w="974" w:type="dxa"/>
          </w:tcPr>
          <w:p w14:paraId="0C50C496"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35.2</w:t>
            </w:r>
          </w:p>
        </w:tc>
        <w:tc>
          <w:tcPr>
            <w:tcW w:w="974" w:type="dxa"/>
          </w:tcPr>
          <w:p w14:paraId="11925D07" w14:textId="77777777" w:rsidR="003F402F" w:rsidRPr="00392E0D" w:rsidRDefault="003F402F">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34.3</w:t>
            </w:r>
          </w:p>
        </w:tc>
      </w:tr>
    </w:tbl>
    <w:p w14:paraId="3FA02CB1" w14:textId="603872FB" w:rsidR="003F402F" w:rsidRPr="00392E0D" w:rsidRDefault="00840C93" w:rsidP="00AD5246">
      <w:pPr>
        <w:pStyle w:val="Heading2"/>
        <w:spacing w:before="240"/>
        <w:rPr>
          <w:rFonts w:cs="Arial"/>
        </w:rPr>
      </w:pPr>
      <w:r w:rsidRPr="00392E0D">
        <w:rPr>
          <w:rFonts w:cs="Arial"/>
        </w:rPr>
        <w:t>Domain trends – Percentage of children on track, at risk and vulnerable</w:t>
      </w:r>
    </w:p>
    <w:p w14:paraId="62AA1900" w14:textId="7D4178F7" w:rsidR="00AD5246" w:rsidRPr="00392E0D" w:rsidRDefault="00AD5246" w:rsidP="00096628">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14</w:t>
      </w:r>
      <w:r w:rsidRPr="00392E0D">
        <w:rPr>
          <w:rFonts w:cs="Arial"/>
        </w:rPr>
        <w:fldChar w:fldCharType="end"/>
      </w:r>
      <w:r w:rsidRPr="00392E0D">
        <w:rPr>
          <w:rFonts w:cs="Arial"/>
        </w:rPr>
        <w:tab/>
      </w:r>
      <w:r w:rsidRPr="00392E0D">
        <w:rPr>
          <w:rFonts w:eastAsiaTheme="minorHAnsi" w:cs="Arial"/>
        </w:rPr>
        <w:t xml:space="preserve">Aboriginal and Torres Strait Islander </w:t>
      </w:r>
      <w:proofErr w:type="gramStart"/>
      <w:r w:rsidRPr="00392E0D">
        <w:rPr>
          <w:rFonts w:eastAsiaTheme="minorHAnsi" w:cs="Arial"/>
        </w:rPr>
        <w:t>children</w:t>
      </w:r>
      <w:proofErr w:type="gramEnd"/>
      <w:r w:rsidRPr="00392E0D">
        <w:rPr>
          <w:rFonts w:eastAsiaTheme="minorHAnsi" w:cs="Arial"/>
        </w:rPr>
        <w:t xml:space="preserve"> trends for Physical health and wellbeing domain, all collections</w:t>
      </w:r>
    </w:p>
    <w:tbl>
      <w:tblPr>
        <w:tblStyle w:val="TableGrid"/>
        <w:tblW w:w="10343" w:type="dxa"/>
        <w:tblLayout w:type="fixed"/>
        <w:tblLook w:val="0020" w:firstRow="1" w:lastRow="0" w:firstColumn="0" w:lastColumn="0" w:noHBand="0" w:noVBand="0"/>
      </w:tblPr>
      <w:tblGrid>
        <w:gridCol w:w="1025"/>
        <w:gridCol w:w="1533"/>
        <w:gridCol w:w="1534"/>
        <w:gridCol w:w="1534"/>
        <w:gridCol w:w="1534"/>
        <w:gridCol w:w="1534"/>
        <w:gridCol w:w="1649"/>
      </w:tblGrid>
      <w:tr w:rsidR="00AD5246" w:rsidRPr="00392E0D" w14:paraId="764B9E67" w14:textId="77777777" w:rsidTr="008872DA">
        <w:trPr>
          <w:trHeight w:val="287"/>
          <w:tblHeader/>
        </w:trPr>
        <w:tc>
          <w:tcPr>
            <w:tcW w:w="1025" w:type="dxa"/>
          </w:tcPr>
          <w:p w14:paraId="46A7F02D" w14:textId="77777777" w:rsidR="00AD5246" w:rsidRPr="00392E0D" w:rsidRDefault="00AD5246" w:rsidP="00020189">
            <w:pPr>
              <w:widowControl/>
              <w:adjustRightInd w:val="0"/>
              <w:rPr>
                <w:rFonts w:ascii="Arial" w:eastAsiaTheme="minorHAnsi" w:hAnsi="Arial" w:cs="Arial"/>
                <w:color w:val="000000"/>
                <w:sz w:val="20"/>
                <w:szCs w:val="20"/>
                <w:lang w:val="en-AU"/>
              </w:rPr>
            </w:pPr>
          </w:p>
        </w:tc>
        <w:tc>
          <w:tcPr>
            <w:tcW w:w="1533" w:type="dxa"/>
          </w:tcPr>
          <w:p w14:paraId="33B5CCE9"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34" w:type="dxa"/>
          </w:tcPr>
          <w:p w14:paraId="6082C2F6"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34" w:type="dxa"/>
          </w:tcPr>
          <w:p w14:paraId="137E39AD"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34" w:type="dxa"/>
          </w:tcPr>
          <w:p w14:paraId="6C77614F"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34" w:type="dxa"/>
          </w:tcPr>
          <w:p w14:paraId="3ADD0E22"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649" w:type="dxa"/>
          </w:tcPr>
          <w:p w14:paraId="4D7400B2"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AD5246" w:rsidRPr="00392E0D" w14:paraId="22442100" w14:textId="77777777" w:rsidTr="00020189">
        <w:trPr>
          <w:trHeight w:val="311"/>
        </w:trPr>
        <w:tc>
          <w:tcPr>
            <w:tcW w:w="1025" w:type="dxa"/>
          </w:tcPr>
          <w:p w14:paraId="4E08CB48"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33" w:type="dxa"/>
          </w:tcPr>
          <w:p w14:paraId="426B585B"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6,809</w:t>
            </w:r>
          </w:p>
        </w:tc>
        <w:tc>
          <w:tcPr>
            <w:tcW w:w="1534" w:type="dxa"/>
          </w:tcPr>
          <w:p w14:paraId="2B2974AD"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60.6</w:t>
            </w:r>
          </w:p>
        </w:tc>
        <w:tc>
          <w:tcPr>
            <w:tcW w:w="1534" w:type="dxa"/>
          </w:tcPr>
          <w:p w14:paraId="706DCD9D"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1,963</w:t>
            </w:r>
          </w:p>
        </w:tc>
        <w:tc>
          <w:tcPr>
            <w:tcW w:w="1534" w:type="dxa"/>
          </w:tcPr>
          <w:p w14:paraId="3F75E5CA"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w:t>
            </w:r>
          </w:p>
        </w:tc>
        <w:tc>
          <w:tcPr>
            <w:tcW w:w="1534" w:type="dxa"/>
          </w:tcPr>
          <w:p w14:paraId="28FD43A3"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2,456</w:t>
            </w:r>
          </w:p>
        </w:tc>
        <w:tc>
          <w:tcPr>
            <w:tcW w:w="1649" w:type="dxa"/>
          </w:tcPr>
          <w:p w14:paraId="1718821C"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21.9</w:t>
            </w:r>
          </w:p>
        </w:tc>
      </w:tr>
      <w:tr w:rsidR="00AD5246" w:rsidRPr="00392E0D" w14:paraId="46D4E42F" w14:textId="77777777" w:rsidTr="00020189">
        <w:trPr>
          <w:trHeight w:val="287"/>
        </w:trPr>
        <w:tc>
          <w:tcPr>
            <w:tcW w:w="1025" w:type="dxa"/>
          </w:tcPr>
          <w:p w14:paraId="2AB2B2A6"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33" w:type="dxa"/>
          </w:tcPr>
          <w:p w14:paraId="247C663E"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8,794</w:t>
            </w:r>
          </w:p>
        </w:tc>
        <w:tc>
          <w:tcPr>
            <w:tcW w:w="1534" w:type="dxa"/>
          </w:tcPr>
          <w:p w14:paraId="536B2D7E"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62.6</w:t>
            </w:r>
          </w:p>
        </w:tc>
        <w:tc>
          <w:tcPr>
            <w:tcW w:w="1534" w:type="dxa"/>
          </w:tcPr>
          <w:p w14:paraId="51BD13DD"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2,386</w:t>
            </w:r>
          </w:p>
        </w:tc>
        <w:tc>
          <w:tcPr>
            <w:tcW w:w="1534" w:type="dxa"/>
          </w:tcPr>
          <w:p w14:paraId="5DAFDE00"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17.0</w:t>
            </w:r>
          </w:p>
        </w:tc>
        <w:tc>
          <w:tcPr>
            <w:tcW w:w="1534" w:type="dxa"/>
          </w:tcPr>
          <w:p w14:paraId="3EE4823D"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2,872</w:t>
            </w:r>
          </w:p>
        </w:tc>
        <w:tc>
          <w:tcPr>
            <w:tcW w:w="1649" w:type="dxa"/>
          </w:tcPr>
          <w:p w14:paraId="5F6528A3"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20.4</w:t>
            </w:r>
          </w:p>
        </w:tc>
      </w:tr>
      <w:tr w:rsidR="00AD5246" w:rsidRPr="00392E0D" w14:paraId="5BC6D287" w14:textId="77777777" w:rsidTr="00020189">
        <w:trPr>
          <w:trHeight w:val="287"/>
        </w:trPr>
        <w:tc>
          <w:tcPr>
            <w:tcW w:w="1025" w:type="dxa"/>
          </w:tcPr>
          <w:p w14:paraId="7042B949"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33" w:type="dxa"/>
          </w:tcPr>
          <w:p w14:paraId="4ACB1A08"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9,906</w:t>
            </w:r>
          </w:p>
        </w:tc>
        <w:tc>
          <w:tcPr>
            <w:tcW w:w="1534" w:type="dxa"/>
          </w:tcPr>
          <w:p w14:paraId="6CB29020"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62.3</w:t>
            </w:r>
          </w:p>
        </w:tc>
        <w:tc>
          <w:tcPr>
            <w:tcW w:w="1534" w:type="dxa"/>
          </w:tcPr>
          <w:p w14:paraId="1950190F"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2,649</w:t>
            </w:r>
          </w:p>
        </w:tc>
        <w:tc>
          <w:tcPr>
            <w:tcW w:w="1534" w:type="dxa"/>
          </w:tcPr>
          <w:p w14:paraId="30DE0AA0"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16.7</w:t>
            </w:r>
          </w:p>
        </w:tc>
        <w:tc>
          <w:tcPr>
            <w:tcW w:w="1534" w:type="dxa"/>
          </w:tcPr>
          <w:p w14:paraId="514A5C1D"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3,347</w:t>
            </w:r>
          </w:p>
        </w:tc>
        <w:tc>
          <w:tcPr>
            <w:tcW w:w="1649" w:type="dxa"/>
          </w:tcPr>
          <w:p w14:paraId="2CBCA305"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21.0</w:t>
            </w:r>
          </w:p>
        </w:tc>
      </w:tr>
      <w:tr w:rsidR="00AD5246" w:rsidRPr="00392E0D" w14:paraId="3A68B4EA" w14:textId="77777777" w:rsidTr="00020189">
        <w:trPr>
          <w:trHeight w:val="287"/>
        </w:trPr>
        <w:tc>
          <w:tcPr>
            <w:tcW w:w="1025" w:type="dxa"/>
          </w:tcPr>
          <w:p w14:paraId="75876B78"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33" w:type="dxa"/>
          </w:tcPr>
          <w:p w14:paraId="6732C00B"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11,036</w:t>
            </w:r>
          </w:p>
        </w:tc>
        <w:tc>
          <w:tcPr>
            <w:tcW w:w="1534" w:type="dxa"/>
          </w:tcPr>
          <w:p w14:paraId="20FE641A"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62.9</w:t>
            </w:r>
          </w:p>
        </w:tc>
        <w:tc>
          <w:tcPr>
            <w:tcW w:w="1534" w:type="dxa"/>
          </w:tcPr>
          <w:p w14:paraId="5A5307D2"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2,782</w:t>
            </w:r>
          </w:p>
        </w:tc>
        <w:tc>
          <w:tcPr>
            <w:tcW w:w="1534" w:type="dxa"/>
          </w:tcPr>
          <w:p w14:paraId="3E5FDCFB"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w:t>
            </w:r>
          </w:p>
        </w:tc>
        <w:tc>
          <w:tcPr>
            <w:tcW w:w="1534" w:type="dxa"/>
          </w:tcPr>
          <w:p w14:paraId="7EAD4CEA"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3,738</w:t>
            </w:r>
          </w:p>
        </w:tc>
        <w:tc>
          <w:tcPr>
            <w:tcW w:w="1649" w:type="dxa"/>
          </w:tcPr>
          <w:p w14:paraId="596CB500"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21.3</w:t>
            </w:r>
          </w:p>
        </w:tc>
      </w:tr>
      <w:tr w:rsidR="00AD5246" w:rsidRPr="00392E0D" w14:paraId="6881065C" w14:textId="77777777" w:rsidTr="00020189">
        <w:trPr>
          <w:trHeight w:val="287"/>
        </w:trPr>
        <w:tc>
          <w:tcPr>
            <w:tcW w:w="1025" w:type="dxa"/>
          </w:tcPr>
          <w:p w14:paraId="5DF14EC5"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33" w:type="dxa"/>
          </w:tcPr>
          <w:p w14:paraId="0D67CCA3"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11,660</w:t>
            </w:r>
          </w:p>
        </w:tc>
        <w:tc>
          <w:tcPr>
            <w:tcW w:w="1534" w:type="dxa"/>
          </w:tcPr>
          <w:p w14:paraId="6222405C"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62.9</w:t>
            </w:r>
          </w:p>
        </w:tc>
        <w:tc>
          <w:tcPr>
            <w:tcW w:w="1534" w:type="dxa"/>
          </w:tcPr>
          <w:p w14:paraId="570BFDA2"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2,812</w:t>
            </w:r>
          </w:p>
        </w:tc>
        <w:tc>
          <w:tcPr>
            <w:tcW w:w="1534" w:type="dxa"/>
          </w:tcPr>
          <w:p w14:paraId="020E257E"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15.2</w:t>
            </w:r>
          </w:p>
        </w:tc>
        <w:tc>
          <w:tcPr>
            <w:tcW w:w="1534" w:type="dxa"/>
          </w:tcPr>
          <w:p w14:paraId="73C10CFD"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4,067</w:t>
            </w:r>
          </w:p>
        </w:tc>
        <w:tc>
          <w:tcPr>
            <w:tcW w:w="1649" w:type="dxa"/>
          </w:tcPr>
          <w:p w14:paraId="501C4B49" w14:textId="77777777" w:rsidR="00AD5246" w:rsidRPr="00392E0D" w:rsidRDefault="00AD5246" w:rsidP="00020189">
            <w:pPr>
              <w:widowControl/>
              <w:adjustRightInd w:val="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21.9</w:t>
            </w:r>
          </w:p>
        </w:tc>
      </w:tr>
    </w:tbl>
    <w:p w14:paraId="158F4595" w14:textId="1D80F77F" w:rsidR="00AD5246" w:rsidRPr="00392E0D" w:rsidRDefault="00AD5246" w:rsidP="00AD5246">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15</w:t>
      </w:r>
      <w:r w:rsidRPr="00392E0D">
        <w:rPr>
          <w:rFonts w:cs="Arial"/>
        </w:rPr>
        <w:fldChar w:fldCharType="end"/>
      </w:r>
      <w:r w:rsidRPr="00392E0D">
        <w:rPr>
          <w:rFonts w:cs="Arial"/>
        </w:rPr>
        <w:tab/>
      </w:r>
      <w:r w:rsidRPr="00392E0D">
        <w:rPr>
          <w:rFonts w:eastAsiaTheme="minorHAnsi" w:cs="Arial"/>
          <w:lang w:val="en-AU"/>
        </w:rPr>
        <w:t xml:space="preserve">Aboriginal and Torres Strait Islander </w:t>
      </w:r>
      <w:proofErr w:type="gramStart"/>
      <w:r w:rsidRPr="00392E0D">
        <w:rPr>
          <w:rFonts w:eastAsiaTheme="minorHAnsi" w:cs="Arial"/>
          <w:lang w:val="en-AU"/>
        </w:rPr>
        <w:t>children</w:t>
      </w:r>
      <w:proofErr w:type="gramEnd"/>
      <w:r w:rsidRPr="00392E0D">
        <w:rPr>
          <w:rFonts w:eastAsiaTheme="minorHAnsi" w:cs="Arial"/>
          <w:lang w:val="en-AU"/>
        </w:rPr>
        <w:t xml:space="preserve"> trends for Social competence domain, all collections</w:t>
      </w:r>
    </w:p>
    <w:tbl>
      <w:tblPr>
        <w:tblW w:w="10370" w:type="dxa"/>
        <w:tblInd w:w="-30" w:type="dxa"/>
        <w:tblLayout w:type="fixed"/>
        <w:tblLook w:val="0000" w:firstRow="0" w:lastRow="0" w:firstColumn="0" w:lastColumn="0" w:noHBand="0" w:noVBand="0"/>
      </w:tblPr>
      <w:tblGrid>
        <w:gridCol w:w="1025"/>
        <w:gridCol w:w="1533"/>
        <w:gridCol w:w="1534"/>
        <w:gridCol w:w="1534"/>
        <w:gridCol w:w="1534"/>
        <w:gridCol w:w="1534"/>
        <w:gridCol w:w="1676"/>
      </w:tblGrid>
      <w:tr w:rsidR="00AD5246" w:rsidRPr="00392E0D" w14:paraId="470B0220" w14:textId="77777777" w:rsidTr="00020189">
        <w:trPr>
          <w:trHeight w:val="287"/>
          <w:tblHeader/>
        </w:trPr>
        <w:tc>
          <w:tcPr>
            <w:tcW w:w="1025" w:type="dxa"/>
            <w:tcBorders>
              <w:top w:val="single" w:sz="6" w:space="0" w:color="auto"/>
              <w:left w:val="single" w:sz="6" w:space="0" w:color="auto"/>
              <w:bottom w:val="single" w:sz="6" w:space="0" w:color="auto"/>
              <w:right w:val="single" w:sz="6" w:space="0" w:color="auto"/>
            </w:tcBorders>
          </w:tcPr>
          <w:p w14:paraId="290EED6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p>
        </w:tc>
        <w:tc>
          <w:tcPr>
            <w:tcW w:w="1533" w:type="dxa"/>
            <w:tcBorders>
              <w:top w:val="single" w:sz="6" w:space="0" w:color="auto"/>
              <w:left w:val="single" w:sz="6" w:space="0" w:color="auto"/>
              <w:bottom w:val="single" w:sz="6" w:space="0" w:color="auto"/>
              <w:right w:val="single" w:sz="6" w:space="0" w:color="auto"/>
            </w:tcBorders>
          </w:tcPr>
          <w:p w14:paraId="3CB5F17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34" w:type="dxa"/>
            <w:tcBorders>
              <w:top w:val="single" w:sz="6" w:space="0" w:color="auto"/>
              <w:left w:val="single" w:sz="6" w:space="0" w:color="auto"/>
              <w:bottom w:val="single" w:sz="6" w:space="0" w:color="auto"/>
              <w:right w:val="single" w:sz="6" w:space="0" w:color="auto"/>
            </w:tcBorders>
          </w:tcPr>
          <w:p w14:paraId="2AFE324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34" w:type="dxa"/>
            <w:tcBorders>
              <w:top w:val="single" w:sz="6" w:space="0" w:color="auto"/>
              <w:left w:val="single" w:sz="6" w:space="0" w:color="auto"/>
              <w:bottom w:val="single" w:sz="6" w:space="0" w:color="auto"/>
              <w:right w:val="single" w:sz="6" w:space="0" w:color="auto"/>
            </w:tcBorders>
          </w:tcPr>
          <w:p w14:paraId="74DBE73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34" w:type="dxa"/>
            <w:tcBorders>
              <w:top w:val="single" w:sz="6" w:space="0" w:color="auto"/>
              <w:left w:val="single" w:sz="6" w:space="0" w:color="auto"/>
              <w:bottom w:val="single" w:sz="6" w:space="0" w:color="auto"/>
              <w:right w:val="single" w:sz="6" w:space="0" w:color="auto"/>
            </w:tcBorders>
          </w:tcPr>
          <w:p w14:paraId="334335B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34" w:type="dxa"/>
            <w:tcBorders>
              <w:top w:val="single" w:sz="6" w:space="0" w:color="auto"/>
              <w:left w:val="single" w:sz="6" w:space="0" w:color="auto"/>
              <w:bottom w:val="single" w:sz="6" w:space="0" w:color="auto"/>
              <w:right w:val="single" w:sz="6" w:space="0" w:color="auto"/>
            </w:tcBorders>
          </w:tcPr>
          <w:p w14:paraId="3470F25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676" w:type="dxa"/>
            <w:tcBorders>
              <w:top w:val="single" w:sz="6" w:space="0" w:color="auto"/>
              <w:left w:val="single" w:sz="6" w:space="0" w:color="auto"/>
              <w:bottom w:val="single" w:sz="6" w:space="0" w:color="auto"/>
              <w:right w:val="single" w:sz="6" w:space="0" w:color="auto"/>
            </w:tcBorders>
          </w:tcPr>
          <w:p w14:paraId="6C0CEDC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AD5246" w:rsidRPr="00392E0D" w14:paraId="7E977676"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0C5D51D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33" w:type="dxa"/>
            <w:tcBorders>
              <w:top w:val="single" w:sz="6" w:space="0" w:color="auto"/>
              <w:left w:val="single" w:sz="6" w:space="0" w:color="auto"/>
              <w:bottom w:val="single" w:sz="6" w:space="0" w:color="auto"/>
              <w:right w:val="single" w:sz="6" w:space="0" w:color="auto"/>
            </w:tcBorders>
          </w:tcPr>
          <w:p w14:paraId="73190170"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6,577</w:t>
            </w:r>
          </w:p>
        </w:tc>
        <w:tc>
          <w:tcPr>
            <w:tcW w:w="1534" w:type="dxa"/>
            <w:tcBorders>
              <w:top w:val="single" w:sz="6" w:space="0" w:color="auto"/>
              <w:left w:val="single" w:sz="6" w:space="0" w:color="auto"/>
              <w:bottom w:val="single" w:sz="6" w:space="0" w:color="auto"/>
              <w:right w:val="single" w:sz="6" w:space="0" w:color="auto"/>
            </w:tcBorders>
          </w:tcPr>
          <w:p w14:paraId="2159143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58.7</w:t>
            </w:r>
          </w:p>
        </w:tc>
        <w:tc>
          <w:tcPr>
            <w:tcW w:w="1534" w:type="dxa"/>
            <w:tcBorders>
              <w:top w:val="single" w:sz="6" w:space="0" w:color="auto"/>
              <w:left w:val="single" w:sz="6" w:space="0" w:color="auto"/>
              <w:bottom w:val="single" w:sz="6" w:space="0" w:color="auto"/>
              <w:right w:val="single" w:sz="6" w:space="0" w:color="auto"/>
            </w:tcBorders>
          </w:tcPr>
          <w:p w14:paraId="71690C1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2,372</w:t>
            </w:r>
          </w:p>
        </w:tc>
        <w:tc>
          <w:tcPr>
            <w:tcW w:w="1534" w:type="dxa"/>
            <w:tcBorders>
              <w:top w:val="single" w:sz="6" w:space="0" w:color="auto"/>
              <w:left w:val="single" w:sz="6" w:space="0" w:color="auto"/>
              <w:bottom w:val="single" w:sz="6" w:space="0" w:color="auto"/>
              <w:right w:val="single" w:sz="6" w:space="0" w:color="auto"/>
            </w:tcBorders>
          </w:tcPr>
          <w:p w14:paraId="6601E290"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w:t>
            </w:r>
          </w:p>
        </w:tc>
        <w:tc>
          <w:tcPr>
            <w:tcW w:w="1534" w:type="dxa"/>
            <w:tcBorders>
              <w:top w:val="single" w:sz="6" w:space="0" w:color="auto"/>
              <w:left w:val="single" w:sz="6" w:space="0" w:color="auto"/>
              <w:bottom w:val="single" w:sz="6" w:space="0" w:color="auto"/>
              <w:right w:val="single" w:sz="6" w:space="0" w:color="auto"/>
            </w:tcBorders>
          </w:tcPr>
          <w:p w14:paraId="715D933D"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2,262</w:t>
            </w:r>
          </w:p>
        </w:tc>
        <w:tc>
          <w:tcPr>
            <w:tcW w:w="1676" w:type="dxa"/>
            <w:tcBorders>
              <w:top w:val="single" w:sz="6" w:space="0" w:color="auto"/>
              <w:left w:val="single" w:sz="6" w:space="0" w:color="auto"/>
              <w:bottom w:val="single" w:sz="6" w:space="0" w:color="auto"/>
              <w:right w:val="single" w:sz="6" w:space="0" w:color="auto"/>
            </w:tcBorders>
          </w:tcPr>
          <w:p w14:paraId="2DE67EB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w:t>
            </w:r>
          </w:p>
        </w:tc>
      </w:tr>
      <w:tr w:rsidR="00AD5246" w:rsidRPr="00392E0D" w14:paraId="2CF7E8A6"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13A87A1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33" w:type="dxa"/>
            <w:tcBorders>
              <w:top w:val="single" w:sz="6" w:space="0" w:color="auto"/>
              <w:left w:val="single" w:sz="6" w:space="0" w:color="auto"/>
              <w:bottom w:val="single" w:sz="6" w:space="0" w:color="auto"/>
              <w:right w:val="single" w:sz="6" w:space="0" w:color="auto"/>
            </w:tcBorders>
          </w:tcPr>
          <w:p w14:paraId="41617E1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8,517</w:t>
            </w:r>
          </w:p>
        </w:tc>
        <w:tc>
          <w:tcPr>
            <w:tcW w:w="1534" w:type="dxa"/>
            <w:tcBorders>
              <w:top w:val="single" w:sz="6" w:space="0" w:color="auto"/>
              <w:left w:val="single" w:sz="6" w:space="0" w:color="auto"/>
              <w:bottom w:val="single" w:sz="6" w:space="0" w:color="auto"/>
              <w:right w:val="single" w:sz="6" w:space="0" w:color="auto"/>
            </w:tcBorders>
          </w:tcPr>
          <w:p w14:paraId="542EB36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60.7</w:t>
            </w:r>
          </w:p>
        </w:tc>
        <w:tc>
          <w:tcPr>
            <w:tcW w:w="1534" w:type="dxa"/>
            <w:tcBorders>
              <w:top w:val="single" w:sz="6" w:space="0" w:color="auto"/>
              <w:left w:val="single" w:sz="6" w:space="0" w:color="auto"/>
              <w:bottom w:val="single" w:sz="6" w:space="0" w:color="auto"/>
              <w:right w:val="single" w:sz="6" w:space="0" w:color="auto"/>
            </w:tcBorders>
          </w:tcPr>
          <w:p w14:paraId="1EA59D6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2,905</w:t>
            </w:r>
          </w:p>
        </w:tc>
        <w:tc>
          <w:tcPr>
            <w:tcW w:w="1534" w:type="dxa"/>
            <w:tcBorders>
              <w:top w:val="single" w:sz="6" w:space="0" w:color="auto"/>
              <w:left w:val="single" w:sz="6" w:space="0" w:color="auto"/>
              <w:bottom w:val="single" w:sz="6" w:space="0" w:color="auto"/>
              <w:right w:val="single" w:sz="6" w:space="0" w:color="auto"/>
            </w:tcBorders>
          </w:tcPr>
          <w:p w14:paraId="5295807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20.7</w:t>
            </w:r>
          </w:p>
        </w:tc>
        <w:tc>
          <w:tcPr>
            <w:tcW w:w="1534" w:type="dxa"/>
            <w:tcBorders>
              <w:top w:val="single" w:sz="6" w:space="0" w:color="auto"/>
              <w:left w:val="single" w:sz="6" w:space="0" w:color="auto"/>
              <w:bottom w:val="single" w:sz="6" w:space="0" w:color="auto"/>
              <w:right w:val="single" w:sz="6" w:space="0" w:color="auto"/>
            </w:tcBorders>
          </w:tcPr>
          <w:p w14:paraId="4C6D5614"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2,619</w:t>
            </w:r>
          </w:p>
        </w:tc>
        <w:tc>
          <w:tcPr>
            <w:tcW w:w="1676" w:type="dxa"/>
            <w:tcBorders>
              <w:top w:val="single" w:sz="6" w:space="0" w:color="auto"/>
              <w:left w:val="single" w:sz="6" w:space="0" w:color="auto"/>
              <w:bottom w:val="single" w:sz="6" w:space="0" w:color="auto"/>
              <w:right w:val="single" w:sz="6" w:space="0" w:color="auto"/>
            </w:tcBorders>
          </w:tcPr>
          <w:p w14:paraId="198C0DB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18.7</w:t>
            </w:r>
          </w:p>
        </w:tc>
      </w:tr>
      <w:tr w:rsidR="00AD5246" w:rsidRPr="00392E0D" w14:paraId="35957C2C"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3DA4EBB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33" w:type="dxa"/>
            <w:tcBorders>
              <w:top w:val="single" w:sz="6" w:space="0" w:color="auto"/>
              <w:left w:val="single" w:sz="6" w:space="0" w:color="auto"/>
              <w:bottom w:val="single" w:sz="6" w:space="0" w:color="auto"/>
              <w:right w:val="single" w:sz="6" w:space="0" w:color="auto"/>
            </w:tcBorders>
          </w:tcPr>
          <w:p w14:paraId="7AF49DC7"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9,402</w:t>
            </w:r>
          </w:p>
        </w:tc>
        <w:tc>
          <w:tcPr>
            <w:tcW w:w="1534" w:type="dxa"/>
            <w:tcBorders>
              <w:top w:val="single" w:sz="6" w:space="0" w:color="auto"/>
              <w:left w:val="single" w:sz="6" w:space="0" w:color="auto"/>
              <w:bottom w:val="single" w:sz="6" w:space="0" w:color="auto"/>
              <w:right w:val="single" w:sz="6" w:space="0" w:color="auto"/>
            </w:tcBorders>
          </w:tcPr>
          <w:p w14:paraId="1555DF9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59.2</w:t>
            </w:r>
          </w:p>
        </w:tc>
        <w:tc>
          <w:tcPr>
            <w:tcW w:w="1534" w:type="dxa"/>
            <w:tcBorders>
              <w:top w:val="single" w:sz="6" w:space="0" w:color="auto"/>
              <w:left w:val="single" w:sz="6" w:space="0" w:color="auto"/>
              <w:bottom w:val="single" w:sz="6" w:space="0" w:color="auto"/>
              <w:right w:val="single" w:sz="6" w:space="0" w:color="auto"/>
            </w:tcBorders>
          </w:tcPr>
          <w:p w14:paraId="1A7081D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3,239</w:t>
            </w:r>
          </w:p>
        </w:tc>
        <w:tc>
          <w:tcPr>
            <w:tcW w:w="1534" w:type="dxa"/>
            <w:tcBorders>
              <w:top w:val="single" w:sz="6" w:space="0" w:color="auto"/>
              <w:left w:val="single" w:sz="6" w:space="0" w:color="auto"/>
              <w:bottom w:val="single" w:sz="6" w:space="0" w:color="auto"/>
              <w:right w:val="single" w:sz="6" w:space="0" w:color="auto"/>
            </w:tcBorders>
          </w:tcPr>
          <w:p w14:paraId="69322650"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20.4</w:t>
            </w:r>
          </w:p>
        </w:tc>
        <w:tc>
          <w:tcPr>
            <w:tcW w:w="1534" w:type="dxa"/>
            <w:tcBorders>
              <w:top w:val="single" w:sz="6" w:space="0" w:color="auto"/>
              <w:left w:val="single" w:sz="6" w:space="0" w:color="auto"/>
              <w:bottom w:val="single" w:sz="6" w:space="0" w:color="auto"/>
              <w:right w:val="single" w:sz="6" w:space="0" w:color="auto"/>
            </w:tcBorders>
          </w:tcPr>
          <w:p w14:paraId="43F4CC04"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3,251</w:t>
            </w:r>
          </w:p>
        </w:tc>
        <w:tc>
          <w:tcPr>
            <w:tcW w:w="1676" w:type="dxa"/>
            <w:tcBorders>
              <w:top w:val="single" w:sz="6" w:space="0" w:color="auto"/>
              <w:left w:val="single" w:sz="6" w:space="0" w:color="auto"/>
              <w:bottom w:val="single" w:sz="6" w:space="0" w:color="auto"/>
              <w:right w:val="single" w:sz="6" w:space="0" w:color="auto"/>
            </w:tcBorders>
          </w:tcPr>
          <w:p w14:paraId="2143801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20.5</w:t>
            </w:r>
          </w:p>
        </w:tc>
      </w:tr>
      <w:tr w:rsidR="00AD5246" w:rsidRPr="00392E0D" w14:paraId="6D608FA8"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42C975F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33" w:type="dxa"/>
            <w:tcBorders>
              <w:top w:val="single" w:sz="6" w:space="0" w:color="auto"/>
              <w:left w:val="single" w:sz="6" w:space="0" w:color="auto"/>
              <w:bottom w:val="single" w:sz="6" w:space="0" w:color="auto"/>
              <w:right w:val="single" w:sz="6" w:space="0" w:color="auto"/>
            </w:tcBorders>
          </w:tcPr>
          <w:p w14:paraId="45BF06E7"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10,604</w:t>
            </w:r>
          </w:p>
        </w:tc>
        <w:tc>
          <w:tcPr>
            <w:tcW w:w="1534" w:type="dxa"/>
            <w:tcBorders>
              <w:top w:val="single" w:sz="6" w:space="0" w:color="auto"/>
              <w:left w:val="single" w:sz="6" w:space="0" w:color="auto"/>
              <w:bottom w:val="single" w:sz="6" w:space="0" w:color="auto"/>
              <w:right w:val="single" w:sz="6" w:space="0" w:color="auto"/>
            </w:tcBorders>
          </w:tcPr>
          <w:p w14:paraId="4C78B006"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60.4</w:t>
            </w:r>
          </w:p>
        </w:tc>
        <w:tc>
          <w:tcPr>
            <w:tcW w:w="1534" w:type="dxa"/>
            <w:tcBorders>
              <w:top w:val="single" w:sz="6" w:space="0" w:color="auto"/>
              <w:left w:val="single" w:sz="6" w:space="0" w:color="auto"/>
              <w:bottom w:val="single" w:sz="6" w:space="0" w:color="auto"/>
              <w:right w:val="single" w:sz="6" w:space="0" w:color="auto"/>
            </w:tcBorders>
          </w:tcPr>
          <w:p w14:paraId="4D05A36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3,429</w:t>
            </w:r>
          </w:p>
        </w:tc>
        <w:tc>
          <w:tcPr>
            <w:tcW w:w="1534" w:type="dxa"/>
            <w:tcBorders>
              <w:top w:val="single" w:sz="6" w:space="0" w:color="auto"/>
              <w:left w:val="single" w:sz="6" w:space="0" w:color="auto"/>
              <w:bottom w:val="single" w:sz="6" w:space="0" w:color="auto"/>
              <w:right w:val="single" w:sz="6" w:space="0" w:color="auto"/>
            </w:tcBorders>
          </w:tcPr>
          <w:p w14:paraId="6C5B9736"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19.5</w:t>
            </w:r>
          </w:p>
        </w:tc>
        <w:tc>
          <w:tcPr>
            <w:tcW w:w="1534" w:type="dxa"/>
            <w:tcBorders>
              <w:top w:val="single" w:sz="6" w:space="0" w:color="auto"/>
              <w:left w:val="single" w:sz="6" w:space="0" w:color="auto"/>
              <w:bottom w:val="single" w:sz="6" w:space="0" w:color="auto"/>
              <w:right w:val="single" w:sz="6" w:space="0" w:color="auto"/>
            </w:tcBorders>
          </w:tcPr>
          <w:p w14:paraId="10C4F42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3,517</w:t>
            </w:r>
          </w:p>
        </w:tc>
        <w:tc>
          <w:tcPr>
            <w:tcW w:w="1676" w:type="dxa"/>
            <w:tcBorders>
              <w:top w:val="single" w:sz="6" w:space="0" w:color="auto"/>
              <w:left w:val="single" w:sz="6" w:space="0" w:color="auto"/>
              <w:bottom w:val="single" w:sz="6" w:space="0" w:color="auto"/>
              <w:right w:val="single" w:sz="6" w:space="0" w:color="auto"/>
            </w:tcBorders>
          </w:tcPr>
          <w:p w14:paraId="6ED7F1B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w:t>
            </w:r>
          </w:p>
        </w:tc>
      </w:tr>
      <w:tr w:rsidR="00AD5246" w:rsidRPr="00392E0D" w14:paraId="07A0A49B" w14:textId="77777777" w:rsidTr="00020189">
        <w:trPr>
          <w:trHeight w:val="311"/>
        </w:trPr>
        <w:tc>
          <w:tcPr>
            <w:tcW w:w="1025" w:type="dxa"/>
            <w:tcBorders>
              <w:top w:val="single" w:sz="6" w:space="0" w:color="auto"/>
              <w:left w:val="single" w:sz="6" w:space="0" w:color="auto"/>
              <w:bottom w:val="single" w:sz="6" w:space="0" w:color="auto"/>
              <w:right w:val="single" w:sz="6" w:space="0" w:color="auto"/>
            </w:tcBorders>
          </w:tcPr>
          <w:p w14:paraId="2C74173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33" w:type="dxa"/>
            <w:tcBorders>
              <w:top w:val="single" w:sz="6" w:space="0" w:color="auto"/>
              <w:left w:val="single" w:sz="6" w:space="0" w:color="auto"/>
              <w:bottom w:val="single" w:sz="6" w:space="0" w:color="auto"/>
              <w:right w:val="single" w:sz="6" w:space="0" w:color="auto"/>
            </w:tcBorders>
          </w:tcPr>
          <w:p w14:paraId="7CAC7F0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11,208</w:t>
            </w:r>
          </w:p>
        </w:tc>
        <w:tc>
          <w:tcPr>
            <w:tcW w:w="1534" w:type="dxa"/>
            <w:tcBorders>
              <w:top w:val="single" w:sz="6" w:space="0" w:color="auto"/>
              <w:left w:val="single" w:sz="6" w:space="0" w:color="auto"/>
              <w:bottom w:val="single" w:sz="6" w:space="0" w:color="auto"/>
              <w:right w:val="single" w:sz="6" w:space="0" w:color="auto"/>
            </w:tcBorders>
          </w:tcPr>
          <w:p w14:paraId="009364F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60.5</w:t>
            </w:r>
          </w:p>
        </w:tc>
        <w:tc>
          <w:tcPr>
            <w:tcW w:w="1534" w:type="dxa"/>
            <w:tcBorders>
              <w:top w:val="single" w:sz="6" w:space="0" w:color="auto"/>
              <w:left w:val="single" w:sz="6" w:space="0" w:color="auto"/>
              <w:bottom w:val="single" w:sz="6" w:space="0" w:color="auto"/>
              <w:right w:val="single" w:sz="6" w:space="0" w:color="auto"/>
            </w:tcBorders>
          </w:tcPr>
          <w:p w14:paraId="31958E7B"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3,715</w:t>
            </w:r>
          </w:p>
        </w:tc>
        <w:tc>
          <w:tcPr>
            <w:tcW w:w="1534" w:type="dxa"/>
            <w:tcBorders>
              <w:top w:val="single" w:sz="6" w:space="0" w:color="auto"/>
              <w:left w:val="single" w:sz="6" w:space="0" w:color="auto"/>
              <w:bottom w:val="single" w:sz="6" w:space="0" w:color="auto"/>
              <w:right w:val="single" w:sz="6" w:space="0" w:color="auto"/>
            </w:tcBorders>
          </w:tcPr>
          <w:p w14:paraId="5187DF5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w:t>
            </w:r>
          </w:p>
        </w:tc>
        <w:tc>
          <w:tcPr>
            <w:tcW w:w="1534" w:type="dxa"/>
            <w:tcBorders>
              <w:top w:val="single" w:sz="6" w:space="0" w:color="auto"/>
              <w:left w:val="single" w:sz="6" w:space="0" w:color="auto"/>
              <w:bottom w:val="single" w:sz="6" w:space="0" w:color="auto"/>
              <w:right w:val="single" w:sz="6" w:space="0" w:color="auto"/>
            </w:tcBorders>
          </w:tcPr>
          <w:p w14:paraId="6490366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3,609</w:t>
            </w:r>
          </w:p>
        </w:tc>
        <w:tc>
          <w:tcPr>
            <w:tcW w:w="1676" w:type="dxa"/>
            <w:tcBorders>
              <w:top w:val="single" w:sz="6" w:space="0" w:color="auto"/>
              <w:left w:val="single" w:sz="6" w:space="0" w:color="auto"/>
              <w:bottom w:val="single" w:sz="6" w:space="0" w:color="auto"/>
              <w:right w:val="single" w:sz="6" w:space="0" w:color="auto"/>
            </w:tcBorders>
          </w:tcPr>
          <w:p w14:paraId="0B84FB1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19.5</w:t>
            </w:r>
          </w:p>
        </w:tc>
      </w:tr>
    </w:tbl>
    <w:p w14:paraId="24E9BBBC" w14:textId="77777777" w:rsidR="00020189" w:rsidRPr="00392E0D" w:rsidRDefault="00020189" w:rsidP="00AD5246">
      <w:pPr>
        <w:pStyle w:val="Caption"/>
        <w:rPr>
          <w:rFonts w:cs="Arial"/>
        </w:rPr>
      </w:pPr>
    </w:p>
    <w:p w14:paraId="1E11612B" w14:textId="77777777" w:rsidR="00020189" w:rsidRPr="00392E0D" w:rsidRDefault="00020189">
      <w:pPr>
        <w:widowControl/>
        <w:autoSpaceDE/>
        <w:autoSpaceDN/>
        <w:rPr>
          <w:rFonts w:ascii="Arial" w:eastAsia="Times New Roman" w:hAnsi="Arial" w:cs="Arial"/>
          <w:color w:val="000000" w:themeColor="text1"/>
          <w:szCs w:val="18"/>
        </w:rPr>
      </w:pPr>
      <w:r w:rsidRPr="00392E0D">
        <w:rPr>
          <w:rFonts w:ascii="Arial" w:hAnsi="Arial" w:cs="Arial"/>
        </w:rPr>
        <w:br w:type="page"/>
      </w:r>
    </w:p>
    <w:p w14:paraId="7EF6F2CA" w14:textId="3DDC9893" w:rsidR="00AD5246" w:rsidRPr="00392E0D" w:rsidRDefault="00AD5246" w:rsidP="00AD5246">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16</w:t>
      </w:r>
      <w:r w:rsidRPr="00392E0D">
        <w:rPr>
          <w:rFonts w:cs="Arial"/>
        </w:rPr>
        <w:fldChar w:fldCharType="end"/>
      </w:r>
      <w:r w:rsidRPr="00392E0D">
        <w:rPr>
          <w:rFonts w:cs="Arial"/>
        </w:rPr>
        <w:tab/>
      </w:r>
      <w:r w:rsidRPr="00392E0D">
        <w:rPr>
          <w:rFonts w:eastAsiaTheme="minorHAnsi" w:cs="Arial"/>
          <w:lang w:val="en-AU"/>
        </w:rPr>
        <w:t xml:space="preserve">Aboriginal and Torres Strait Islander </w:t>
      </w:r>
      <w:proofErr w:type="gramStart"/>
      <w:r w:rsidRPr="00392E0D">
        <w:rPr>
          <w:rFonts w:eastAsiaTheme="minorHAnsi" w:cs="Arial"/>
          <w:lang w:val="en-AU"/>
        </w:rPr>
        <w:t>children</w:t>
      </w:r>
      <w:proofErr w:type="gramEnd"/>
      <w:r w:rsidRPr="00392E0D">
        <w:rPr>
          <w:rFonts w:eastAsiaTheme="minorHAnsi" w:cs="Arial"/>
          <w:lang w:val="en-AU"/>
        </w:rPr>
        <w:t xml:space="preserve"> trends for Emotional maturity domain, all collections</w:t>
      </w:r>
    </w:p>
    <w:tbl>
      <w:tblPr>
        <w:tblW w:w="10370" w:type="dxa"/>
        <w:tblInd w:w="-30" w:type="dxa"/>
        <w:tblLayout w:type="fixed"/>
        <w:tblLook w:val="0000" w:firstRow="0" w:lastRow="0" w:firstColumn="0" w:lastColumn="0" w:noHBand="0" w:noVBand="0"/>
      </w:tblPr>
      <w:tblGrid>
        <w:gridCol w:w="1025"/>
        <w:gridCol w:w="1533"/>
        <w:gridCol w:w="1534"/>
        <w:gridCol w:w="1534"/>
        <w:gridCol w:w="1534"/>
        <w:gridCol w:w="1534"/>
        <w:gridCol w:w="1676"/>
      </w:tblGrid>
      <w:tr w:rsidR="00AD5246" w:rsidRPr="00392E0D" w14:paraId="6298605A" w14:textId="77777777" w:rsidTr="008872DA">
        <w:trPr>
          <w:trHeight w:val="287"/>
          <w:tblHeader/>
        </w:trPr>
        <w:tc>
          <w:tcPr>
            <w:tcW w:w="1025" w:type="dxa"/>
            <w:tcBorders>
              <w:top w:val="single" w:sz="6" w:space="0" w:color="auto"/>
              <w:left w:val="single" w:sz="6" w:space="0" w:color="auto"/>
              <w:bottom w:val="single" w:sz="6" w:space="0" w:color="auto"/>
              <w:right w:val="single" w:sz="6" w:space="0" w:color="auto"/>
            </w:tcBorders>
            <w:vAlign w:val="bottom"/>
          </w:tcPr>
          <w:p w14:paraId="53668EEB"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p>
        </w:tc>
        <w:tc>
          <w:tcPr>
            <w:tcW w:w="1533" w:type="dxa"/>
            <w:tcBorders>
              <w:top w:val="single" w:sz="6" w:space="0" w:color="auto"/>
              <w:left w:val="single" w:sz="6" w:space="0" w:color="auto"/>
              <w:bottom w:val="single" w:sz="6" w:space="0" w:color="auto"/>
              <w:right w:val="single" w:sz="6" w:space="0" w:color="auto"/>
            </w:tcBorders>
            <w:vAlign w:val="bottom"/>
          </w:tcPr>
          <w:p w14:paraId="2085B899"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34" w:type="dxa"/>
            <w:tcBorders>
              <w:top w:val="single" w:sz="6" w:space="0" w:color="auto"/>
              <w:left w:val="single" w:sz="6" w:space="0" w:color="auto"/>
              <w:bottom w:val="single" w:sz="6" w:space="0" w:color="auto"/>
              <w:right w:val="single" w:sz="6" w:space="0" w:color="auto"/>
            </w:tcBorders>
            <w:vAlign w:val="bottom"/>
          </w:tcPr>
          <w:p w14:paraId="45077649"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34" w:type="dxa"/>
            <w:tcBorders>
              <w:top w:val="single" w:sz="6" w:space="0" w:color="auto"/>
              <w:left w:val="single" w:sz="6" w:space="0" w:color="auto"/>
              <w:bottom w:val="single" w:sz="6" w:space="0" w:color="auto"/>
              <w:right w:val="single" w:sz="6" w:space="0" w:color="auto"/>
            </w:tcBorders>
            <w:vAlign w:val="bottom"/>
          </w:tcPr>
          <w:p w14:paraId="4A51AAE8"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34" w:type="dxa"/>
            <w:tcBorders>
              <w:top w:val="single" w:sz="6" w:space="0" w:color="auto"/>
              <w:left w:val="single" w:sz="6" w:space="0" w:color="auto"/>
              <w:bottom w:val="single" w:sz="6" w:space="0" w:color="auto"/>
              <w:right w:val="single" w:sz="6" w:space="0" w:color="auto"/>
            </w:tcBorders>
            <w:vAlign w:val="bottom"/>
          </w:tcPr>
          <w:p w14:paraId="3A165EB3"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34" w:type="dxa"/>
            <w:tcBorders>
              <w:top w:val="single" w:sz="6" w:space="0" w:color="auto"/>
              <w:left w:val="single" w:sz="6" w:space="0" w:color="auto"/>
              <w:bottom w:val="single" w:sz="6" w:space="0" w:color="auto"/>
              <w:right w:val="single" w:sz="6" w:space="0" w:color="auto"/>
            </w:tcBorders>
            <w:vAlign w:val="bottom"/>
          </w:tcPr>
          <w:p w14:paraId="073BB965"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676" w:type="dxa"/>
            <w:tcBorders>
              <w:top w:val="single" w:sz="6" w:space="0" w:color="auto"/>
              <w:left w:val="single" w:sz="6" w:space="0" w:color="auto"/>
              <w:bottom w:val="single" w:sz="6" w:space="0" w:color="auto"/>
              <w:right w:val="single" w:sz="6" w:space="0" w:color="auto"/>
            </w:tcBorders>
            <w:vAlign w:val="bottom"/>
          </w:tcPr>
          <w:p w14:paraId="19440C4B"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AD5246" w:rsidRPr="00392E0D" w14:paraId="72F34BCD"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0AB54500"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33" w:type="dxa"/>
            <w:tcBorders>
              <w:top w:val="single" w:sz="6" w:space="0" w:color="auto"/>
              <w:left w:val="single" w:sz="6" w:space="0" w:color="auto"/>
              <w:bottom w:val="single" w:sz="6" w:space="0" w:color="auto"/>
              <w:right w:val="single" w:sz="6" w:space="0" w:color="auto"/>
            </w:tcBorders>
          </w:tcPr>
          <w:p w14:paraId="6724BE7B"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6,703</w:t>
            </w:r>
          </w:p>
        </w:tc>
        <w:tc>
          <w:tcPr>
            <w:tcW w:w="1534" w:type="dxa"/>
            <w:tcBorders>
              <w:top w:val="single" w:sz="6" w:space="0" w:color="auto"/>
              <w:left w:val="single" w:sz="6" w:space="0" w:color="auto"/>
              <w:bottom w:val="single" w:sz="6" w:space="0" w:color="auto"/>
              <w:right w:val="single" w:sz="6" w:space="0" w:color="auto"/>
            </w:tcBorders>
          </w:tcPr>
          <w:p w14:paraId="07AC585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60.3</w:t>
            </w:r>
          </w:p>
        </w:tc>
        <w:tc>
          <w:tcPr>
            <w:tcW w:w="1534" w:type="dxa"/>
            <w:tcBorders>
              <w:top w:val="single" w:sz="6" w:space="0" w:color="auto"/>
              <w:left w:val="single" w:sz="6" w:space="0" w:color="auto"/>
              <w:bottom w:val="single" w:sz="6" w:space="0" w:color="auto"/>
              <w:right w:val="single" w:sz="6" w:space="0" w:color="auto"/>
            </w:tcBorders>
          </w:tcPr>
          <w:p w14:paraId="79C5CB6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2,517</w:t>
            </w:r>
          </w:p>
        </w:tc>
        <w:tc>
          <w:tcPr>
            <w:tcW w:w="1534" w:type="dxa"/>
            <w:tcBorders>
              <w:top w:val="single" w:sz="6" w:space="0" w:color="auto"/>
              <w:left w:val="single" w:sz="6" w:space="0" w:color="auto"/>
              <w:bottom w:val="single" w:sz="6" w:space="0" w:color="auto"/>
              <w:right w:val="single" w:sz="6" w:space="0" w:color="auto"/>
            </w:tcBorders>
          </w:tcPr>
          <w:p w14:paraId="341951C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22.6</w:t>
            </w:r>
          </w:p>
        </w:tc>
        <w:tc>
          <w:tcPr>
            <w:tcW w:w="1534" w:type="dxa"/>
            <w:tcBorders>
              <w:top w:val="single" w:sz="6" w:space="0" w:color="auto"/>
              <w:left w:val="single" w:sz="6" w:space="0" w:color="auto"/>
              <w:bottom w:val="single" w:sz="6" w:space="0" w:color="auto"/>
              <w:right w:val="single" w:sz="6" w:space="0" w:color="auto"/>
            </w:tcBorders>
          </w:tcPr>
          <w:p w14:paraId="4A627EC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1,901</w:t>
            </w:r>
          </w:p>
        </w:tc>
        <w:tc>
          <w:tcPr>
            <w:tcW w:w="1676" w:type="dxa"/>
            <w:tcBorders>
              <w:top w:val="single" w:sz="6" w:space="0" w:color="auto"/>
              <w:left w:val="single" w:sz="6" w:space="0" w:color="auto"/>
              <w:bottom w:val="single" w:sz="6" w:space="0" w:color="auto"/>
              <w:right w:val="single" w:sz="6" w:space="0" w:color="auto"/>
            </w:tcBorders>
          </w:tcPr>
          <w:p w14:paraId="3FA6896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17.1</w:t>
            </w:r>
          </w:p>
        </w:tc>
      </w:tr>
      <w:tr w:rsidR="00AD5246" w:rsidRPr="00392E0D" w14:paraId="0189EA0A"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7AAFE790"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33" w:type="dxa"/>
            <w:tcBorders>
              <w:top w:val="single" w:sz="6" w:space="0" w:color="auto"/>
              <w:left w:val="single" w:sz="6" w:space="0" w:color="auto"/>
              <w:bottom w:val="single" w:sz="6" w:space="0" w:color="auto"/>
              <w:right w:val="single" w:sz="6" w:space="0" w:color="auto"/>
            </w:tcBorders>
          </w:tcPr>
          <w:p w14:paraId="4953755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9,041</w:t>
            </w:r>
          </w:p>
        </w:tc>
        <w:tc>
          <w:tcPr>
            <w:tcW w:w="1534" w:type="dxa"/>
            <w:tcBorders>
              <w:top w:val="single" w:sz="6" w:space="0" w:color="auto"/>
              <w:left w:val="single" w:sz="6" w:space="0" w:color="auto"/>
              <w:bottom w:val="single" w:sz="6" w:space="0" w:color="auto"/>
              <w:right w:val="single" w:sz="6" w:space="0" w:color="auto"/>
            </w:tcBorders>
          </w:tcPr>
          <w:p w14:paraId="21C8CE4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64.7</w:t>
            </w:r>
          </w:p>
        </w:tc>
        <w:tc>
          <w:tcPr>
            <w:tcW w:w="1534" w:type="dxa"/>
            <w:tcBorders>
              <w:top w:val="single" w:sz="6" w:space="0" w:color="auto"/>
              <w:left w:val="single" w:sz="6" w:space="0" w:color="auto"/>
              <w:bottom w:val="single" w:sz="6" w:space="0" w:color="auto"/>
              <w:right w:val="single" w:sz="6" w:space="0" w:color="auto"/>
            </w:tcBorders>
          </w:tcPr>
          <w:p w14:paraId="2F9EBE4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2,760</w:t>
            </w:r>
          </w:p>
        </w:tc>
        <w:tc>
          <w:tcPr>
            <w:tcW w:w="1534" w:type="dxa"/>
            <w:tcBorders>
              <w:top w:val="single" w:sz="6" w:space="0" w:color="auto"/>
              <w:left w:val="single" w:sz="6" w:space="0" w:color="auto"/>
              <w:bottom w:val="single" w:sz="6" w:space="0" w:color="auto"/>
              <w:right w:val="single" w:sz="6" w:space="0" w:color="auto"/>
            </w:tcBorders>
          </w:tcPr>
          <w:p w14:paraId="77F5A77D"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19.7</w:t>
            </w:r>
          </w:p>
        </w:tc>
        <w:tc>
          <w:tcPr>
            <w:tcW w:w="1534" w:type="dxa"/>
            <w:tcBorders>
              <w:top w:val="single" w:sz="6" w:space="0" w:color="auto"/>
              <w:left w:val="single" w:sz="6" w:space="0" w:color="auto"/>
              <w:bottom w:val="single" w:sz="6" w:space="0" w:color="auto"/>
              <w:right w:val="single" w:sz="6" w:space="0" w:color="auto"/>
            </w:tcBorders>
          </w:tcPr>
          <w:p w14:paraId="26276B7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2,180</w:t>
            </w:r>
          </w:p>
        </w:tc>
        <w:tc>
          <w:tcPr>
            <w:tcW w:w="1676" w:type="dxa"/>
            <w:tcBorders>
              <w:top w:val="single" w:sz="6" w:space="0" w:color="auto"/>
              <w:left w:val="single" w:sz="6" w:space="0" w:color="auto"/>
              <w:bottom w:val="single" w:sz="6" w:space="0" w:color="auto"/>
              <w:right w:val="single" w:sz="6" w:space="0" w:color="auto"/>
            </w:tcBorders>
          </w:tcPr>
          <w:p w14:paraId="51533E4D"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r>
      <w:tr w:rsidR="00AD5246" w:rsidRPr="00392E0D" w14:paraId="6EC4AFD5"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22E441D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33" w:type="dxa"/>
            <w:tcBorders>
              <w:top w:val="single" w:sz="6" w:space="0" w:color="auto"/>
              <w:left w:val="single" w:sz="6" w:space="0" w:color="auto"/>
              <w:bottom w:val="single" w:sz="6" w:space="0" w:color="auto"/>
              <w:right w:val="single" w:sz="6" w:space="0" w:color="auto"/>
            </w:tcBorders>
          </w:tcPr>
          <w:p w14:paraId="29BEEED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9,893</w:t>
            </w:r>
          </w:p>
        </w:tc>
        <w:tc>
          <w:tcPr>
            <w:tcW w:w="1534" w:type="dxa"/>
            <w:tcBorders>
              <w:top w:val="single" w:sz="6" w:space="0" w:color="auto"/>
              <w:left w:val="single" w:sz="6" w:space="0" w:color="auto"/>
              <w:bottom w:val="single" w:sz="6" w:space="0" w:color="auto"/>
              <w:right w:val="single" w:sz="6" w:space="0" w:color="auto"/>
            </w:tcBorders>
          </w:tcPr>
          <w:p w14:paraId="1CDE48C6"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62.5</w:t>
            </w:r>
          </w:p>
        </w:tc>
        <w:tc>
          <w:tcPr>
            <w:tcW w:w="1534" w:type="dxa"/>
            <w:tcBorders>
              <w:top w:val="single" w:sz="6" w:space="0" w:color="auto"/>
              <w:left w:val="single" w:sz="6" w:space="0" w:color="auto"/>
              <w:bottom w:val="single" w:sz="6" w:space="0" w:color="auto"/>
              <w:right w:val="single" w:sz="6" w:space="0" w:color="auto"/>
            </w:tcBorders>
          </w:tcPr>
          <w:p w14:paraId="169AA3C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3,277</w:t>
            </w:r>
          </w:p>
        </w:tc>
        <w:tc>
          <w:tcPr>
            <w:tcW w:w="1534" w:type="dxa"/>
            <w:tcBorders>
              <w:top w:val="single" w:sz="6" w:space="0" w:color="auto"/>
              <w:left w:val="single" w:sz="6" w:space="0" w:color="auto"/>
              <w:bottom w:val="single" w:sz="6" w:space="0" w:color="auto"/>
              <w:right w:val="single" w:sz="6" w:space="0" w:color="auto"/>
            </w:tcBorders>
          </w:tcPr>
          <w:p w14:paraId="4589718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20.7</w:t>
            </w:r>
          </w:p>
        </w:tc>
        <w:tc>
          <w:tcPr>
            <w:tcW w:w="1534" w:type="dxa"/>
            <w:tcBorders>
              <w:top w:val="single" w:sz="6" w:space="0" w:color="auto"/>
              <w:left w:val="single" w:sz="6" w:space="0" w:color="auto"/>
              <w:bottom w:val="single" w:sz="6" w:space="0" w:color="auto"/>
              <w:right w:val="single" w:sz="6" w:space="0" w:color="auto"/>
            </w:tcBorders>
          </w:tcPr>
          <w:p w14:paraId="44D4352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2,671</w:t>
            </w:r>
          </w:p>
        </w:tc>
        <w:tc>
          <w:tcPr>
            <w:tcW w:w="1676" w:type="dxa"/>
            <w:tcBorders>
              <w:top w:val="single" w:sz="6" w:space="0" w:color="auto"/>
              <w:left w:val="single" w:sz="6" w:space="0" w:color="auto"/>
              <w:bottom w:val="single" w:sz="6" w:space="0" w:color="auto"/>
              <w:right w:val="single" w:sz="6" w:space="0" w:color="auto"/>
            </w:tcBorders>
          </w:tcPr>
          <w:p w14:paraId="1C07B55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16.9</w:t>
            </w:r>
          </w:p>
        </w:tc>
      </w:tr>
      <w:tr w:rsidR="00AD5246" w:rsidRPr="00392E0D" w14:paraId="5AFD0BCA"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0A9A676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33" w:type="dxa"/>
            <w:tcBorders>
              <w:top w:val="single" w:sz="6" w:space="0" w:color="auto"/>
              <w:left w:val="single" w:sz="6" w:space="0" w:color="auto"/>
              <w:bottom w:val="single" w:sz="6" w:space="0" w:color="auto"/>
              <w:right w:val="single" w:sz="6" w:space="0" w:color="auto"/>
            </w:tcBorders>
          </w:tcPr>
          <w:p w14:paraId="607EB3E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11,254</w:t>
            </w:r>
          </w:p>
        </w:tc>
        <w:tc>
          <w:tcPr>
            <w:tcW w:w="1534" w:type="dxa"/>
            <w:tcBorders>
              <w:top w:val="single" w:sz="6" w:space="0" w:color="auto"/>
              <w:left w:val="single" w:sz="6" w:space="0" w:color="auto"/>
              <w:bottom w:val="single" w:sz="6" w:space="0" w:color="auto"/>
              <w:right w:val="single" w:sz="6" w:space="0" w:color="auto"/>
            </w:tcBorders>
          </w:tcPr>
          <w:p w14:paraId="77C8E06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64.5</w:t>
            </w:r>
          </w:p>
        </w:tc>
        <w:tc>
          <w:tcPr>
            <w:tcW w:w="1534" w:type="dxa"/>
            <w:tcBorders>
              <w:top w:val="single" w:sz="6" w:space="0" w:color="auto"/>
              <w:left w:val="single" w:sz="6" w:space="0" w:color="auto"/>
              <w:bottom w:val="single" w:sz="6" w:space="0" w:color="auto"/>
              <w:right w:val="single" w:sz="6" w:space="0" w:color="auto"/>
            </w:tcBorders>
          </w:tcPr>
          <w:p w14:paraId="705521A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3,380</w:t>
            </w:r>
          </w:p>
        </w:tc>
        <w:tc>
          <w:tcPr>
            <w:tcW w:w="1534" w:type="dxa"/>
            <w:tcBorders>
              <w:top w:val="single" w:sz="6" w:space="0" w:color="auto"/>
              <w:left w:val="single" w:sz="6" w:space="0" w:color="auto"/>
              <w:bottom w:val="single" w:sz="6" w:space="0" w:color="auto"/>
              <w:right w:val="single" w:sz="6" w:space="0" w:color="auto"/>
            </w:tcBorders>
          </w:tcPr>
          <w:p w14:paraId="0CF844C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19.4</w:t>
            </w:r>
          </w:p>
        </w:tc>
        <w:tc>
          <w:tcPr>
            <w:tcW w:w="1534" w:type="dxa"/>
            <w:tcBorders>
              <w:top w:val="single" w:sz="6" w:space="0" w:color="auto"/>
              <w:left w:val="single" w:sz="6" w:space="0" w:color="auto"/>
              <w:bottom w:val="single" w:sz="6" w:space="0" w:color="auto"/>
              <w:right w:val="single" w:sz="6" w:space="0" w:color="auto"/>
            </w:tcBorders>
          </w:tcPr>
          <w:p w14:paraId="2B745D8B"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2,827</w:t>
            </w:r>
          </w:p>
        </w:tc>
        <w:tc>
          <w:tcPr>
            <w:tcW w:w="1676" w:type="dxa"/>
            <w:tcBorders>
              <w:top w:val="single" w:sz="6" w:space="0" w:color="auto"/>
              <w:left w:val="single" w:sz="6" w:space="0" w:color="auto"/>
              <w:bottom w:val="single" w:sz="6" w:space="0" w:color="auto"/>
              <w:right w:val="single" w:sz="6" w:space="0" w:color="auto"/>
            </w:tcBorders>
          </w:tcPr>
          <w:p w14:paraId="2A3554A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r>
      <w:tr w:rsidR="00AD5246" w:rsidRPr="00392E0D" w14:paraId="75BFD98D"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38BA3A0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33" w:type="dxa"/>
            <w:tcBorders>
              <w:top w:val="single" w:sz="6" w:space="0" w:color="auto"/>
              <w:left w:val="single" w:sz="6" w:space="0" w:color="auto"/>
              <w:bottom w:val="single" w:sz="6" w:space="0" w:color="auto"/>
              <w:right w:val="single" w:sz="6" w:space="0" w:color="auto"/>
            </w:tcBorders>
          </w:tcPr>
          <w:p w14:paraId="5B50B266"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11,830</w:t>
            </w:r>
          </w:p>
        </w:tc>
        <w:tc>
          <w:tcPr>
            <w:tcW w:w="1534" w:type="dxa"/>
            <w:tcBorders>
              <w:top w:val="single" w:sz="6" w:space="0" w:color="auto"/>
              <w:left w:val="single" w:sz="6" w:space="0" w:color="auto"/>
              <w:bottom w:val="single" w:sz="6" w:space="0" w:color="auto"/>
              <w:right w:val="single" w:sz="6" w:space="0" w:color="auto"/>
            </w:tcBorders>
          </w:tcPr>
          <w:p w14:paraId="41D8D210"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64.1</w:t>
            </w:r>
          </w:p>
        </w:tc>
        <w:tc>
          <w:tcPr>
            <w:tcW w:w="1534" w:type="dxa"/>
            <w:tcBorders>
              <w:top w:val="single" w:sz="6" w:space="0" w:color="auto"/>
              <w:left w:val="single" w:sz="6" w:space="0" w:color="auto"/>
              <w:bottom w:val="single" w:sz="6" w:space="0" w:color="auto"/>
              <w:right w:val="single" w:sz="6" w:space="0" w:color="auto"/>
            </w:tcBorders>
          </w:tcPr>
          <w:p w14:paraId="35FF95F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3,568</w:t>
            </w:r>
          </w:p>
        </w:tc>
        <w:tc>
          <w:tcPr>
            <w:tcW w:w="1534" w:type="dxa"/>
            <w:tcBorders>
              <w:top w:val="single" w:sz="6" w:space="0" w:color="auto"/>
              <w:left w:val="single" w:sz="6" w:space="0" w:color="auto"/>
              <w:bottom w:val="single" w:sz="6" w:space="0" w:color="auto"/>
              <w:right w:val="single" w:sz="6" w:space="0" w:color="auto"/>
            </w:tcBorders>
          </w:tcPr>
          <w:p w14:paraId="2928082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19.3</w:t>
            </w:r>
          </w:p>
        </w:tc>
        <w:tc>
          <w:tcPr>
            <w:tcW w:w="1534" w:type="dxa"/>
            <w:tcBorders>
              <w:top w:val="single" w:sz="6" w:space="0" w:color="auto"/>
              <w:left w:val="single" w:sz="6" w:space="0" w:color="auto"/>
              <w:bottom w:val="single" w:sz="6" w:space="0" w:color="auto"/>
              <w:right w:val="single" w:sz="6" w:space="0" w:color="auto"/>
            </w:tcBorders>
          </w:tcPr>
          <w:p w14:paraId="7FCCC20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3,049</w:t>
            </w:r>
          </w:p>
        </w:tc>
        <w:tc>
          <w:tcPr>
            <w:tcW w:w="1676" w:type="dxa"/>
            <w:tcBorders>
              <w:top w:val="single" w:sz="6" w:space="0" w:color="auto"/>
              <w:left w:val="single" w:sz="6" w:space="0" w:color="auto"/>
              <w:bottom w:val="single" w:sz="6" w:space="0" w:color="auto"/>
              <w:right w:val="single" w:sz="6" w:space="0" w:color="auto"/>
            </w:tcBorders>
          </w:tcPr>
          <w:p w14:paraId="6D3DC51D"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16.5</w:t>
            </w:r>
          </w:p>
        </w:tc>
      </w:tr>
    </w:tbl>
    <w:p w14:paraId="17000B05" w14:textId="0B3CC3CE" w:rsidR="00AD5246" w:rsidRPr="00392E0D" w:rsidRDefault="00AD5246" w:rsidP="00AD5246">
      <w:pPr>
        <w:pStyle w:val="Caption"/>
        <w:rPr>
          <w:rFonts w:eastAsiaTheme="minorHAnsi" w:cs="Arial"/>
          <w:color w:val="00000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17</w:t>
      </w:r>
      <w:r w:rsidRPr="00392E0D">
        <w:rPr>
          <w:rFonts w:cs="Arial"/>
        </w:rPr>
        <w:fldChar w:fldCharType="end"/>
      </w:r>
      <w:r w:rsidRPr="00392E0D">
        <w:rPr>
          <w:rFonts w:cs="Arial"/>
        </w:rPr>
        <w:tab/>
      </w:r>
      <w:r w:rsidRPr="00392E0D">
        <w:rPr>
          <w:rFonts w:eastAsiaTheme="minorHAnsi" w:cs="Arial"/>
        </w:rPr>
        <w:t xml:space="preserve">Aboriginal and Torres Strait Islander </w:t>
      </w:r>
      <w:proofErr w:type="gramStart"/>
      <w:r w:rsidRPr="00392E0D">
        <w:rPr>
          <w:rFonts w:eastAsiaTheme="minorHAnsi" w:cs="Arial"/>
        </w:rPr>
        <w:t>children</w:t>
      </w:r>
      <w:proofErr w:type="gramEnd"/>
      <w:r w:rsidRPr="00392E0D">
        <w:rPr>
          <w:rFonts w:eastAsiaTheme="minorHAnsi" w:cs="Arial"/>
        </w:rPr>
        <w:t xml:space="preserve"> trends for Language and cognitive skills (school-</w:t>
      </w:r>
      <w:r w:rsidRPr="00392E0D">
        <w:rPr>
          <w:rFonts w:eastAsiaTheme="minorHAnsi" w:cs="Arial"/>
          <w:color w:val="000000"/>
          <w:lang w:val="en-AU"/>
        </w:rPr>
        <w:t>based) domain, all collections</w:t>
      </w:r>
    </w:p>
    <w:tbl>
      <w:tblPr>
        <w:tblW w:w="10228" w:type="dxa"/>
        <w:tblInd w:w="-30" w:type="dxa"/>
        <w:tblLayout w:type="fixed"/>
        <w:tblLook w:val="0000" w:firstRow="0" w:lastRow="0" w:firstColumn="0" w:lastColumn="0" w:noHBand="0" w:noVBand="0"/>
      </w:tblPr>
      <w:tblGrid>
        <w:gridCol w:w="1025"/>
        <w:gridCol w:w="1533"/>
        <w:gridCol w:w="1534"/>
        <w:gridCol w:w="1534"/>
        <w:gridCol w:w="1534"/>
        <w:gridCol w:w="1534"/>
        <w:gridCol w:w="1534"/>
      </w:tblGrid>
      <w:tr w:rsidR="00AD5246" w:rsidRPr="00392E0D" w14:paraId="50C9E739" w14:textId="77777777" w:rsidTr="008872DA">
        <w:trPr>
          <w:trHeight w:val="287"/>
          <w:tblHeader/>
        </w:trPr>
        <w:tc>
          <w:tcPr>
            <w:tcW w:w="1025" w:type="dxa"/>
            <w:tcBorders>
              <w:top w:val="single" w:sz="6" w:space="0" w:color="auto"/>
              <w:left w:val="single" w:sz="6" w:space="0" w:color="auto"/>
              <w:bottom w:val="single" w:sz="6" w:space="0" w:color="auto"/>
              <w:right w:val="single" w:sz="6" w:space="0" w:color="auto"/>
            </w:tcBorders>
            <w:vAlign w:val="bottom"/>
          </w:tcPr>
          <w:p w14:paraId="22FC792A"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p>
        </w:tc>
        <w:tc>
          <w:tcPr>
            <w:tcW w:w="1533" w:type="dxa"/>
            <w:tcBorders>
              <w:top w:val="single" w:sz="6" w:space="0" w:color="auto"/>
              <w:left w:val="single" w:sz="6" w:space="0" w:color="auto"/>
              <w:bottom w:val="single" w:sz="6" w:space="0" w:color="auto"/>
              <w:right w:val="single" w:sz="6" w:space="0" w:color="auto"/>
            </w:tcBorders>
            <w:vAlign w:val="bottom"/>
          </w:tcPr>
          <w:p w14:paraId="4AC0F2AF"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34" w:type="dxa"/>
            <w:tcBorders>
              <w:top w:val="single" w:sz="6" w:space="0" w:color="auto"/>
              <w:left w:val="single" w:sz="6" w:space="0" w:color="auto"/>
              <w:bottom w:val="single" w:sz="6" w:space="0" w:color="auto"/>
              <w:right w:val="single" w:sz="6" w:space="0" w:color="auto"/>
            </w:tcBorders>
            <w:vAlign w:val="bottom"/>
          </w:tcPr>
          <w:p w14:paraId="672B06C7"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34" w:type="dxa"/>
            <w:tcBorders>
              <w:top w:val="single" w:sz="6" w:space="0" w:color="auto"/>
              <w:left w:val="single" w:sz="6" w:space="0" w:color="auto"/>
              <w:bottom w:val="single" w:sz="6" w:space="0" w:color="auto"/>
              <w:right w:val="single" w:sz="6" w:space="0" w:color="auto"/>
            </w:tcBorders>
            <w:vAlign w:val="bottom"/>
          </w:tcPr>
          <w:p w14:paraId="78AFED03"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34" w:type="dxa"/>
            <w:tcBorders>
              <w:top w:val="single" w:sz="6" w:space="0" w:color="auto"/>
              <w:left w:val="single" w:sz="6" w:space="0" w:color="auto"/>
              <w:bottom w:val="single" w:sz="6" w:space="0" w:color="auto"/>
              <w:right w:val="single" w:sz="6" w:space="0" w:color="auto"/>
            </w:tcBorders>
            <w:vAlign w:val="bottom"/>
          </w:tcPr>
          <w:p w14:paraId="10247B70"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34" w:type="dxa"/>
            <w:tcBorders>
              <w:top w:val="single" w:sz="6" w:space="0" w:color="auto"/>
              <w:left w:val="single" w:sz="6" w:space="0" w:color="auto"/>
              <w:bottom w:val="single" w:sz="6" w:space="0" w:color="auto"/>
              <w:right w:val="single" w:sz="6" w:space="0" w:color="auto"/>
            </w:tcBorders>
            <w:vAlign w:val="bottom"/>
          </w:tcPr>
          <w:p w14:paraId="62A0282A"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534" w:type="dxa"/>
            <w:tcBorders>
              <w:top w:val="single" w:sz="6" w:space="0" w:color="auto"/>
              <w:left w:val="single" w:sz="6" w:space="0" w:color="auto"/>
              <w:bottom w:val="single" w:sz="6" w:space="0" w:color="auto"/>
              <w:right w:val="single" w:sz="6" w:space="0" w:color="auto"/>
            </w:tcBorders>
            <w:vAlign w:val="bottom"/>
          </w:tcPr>
          <w:p w14:paraId="3531C11B"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AD5246" w:rsidRPr="00392E0D" w14:paraId="328B5F4C"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6CB85B4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33" w:type="dxa"/>
            <w:tcBorders>
              <w:top w:val="single" w:sz="6" w:space="0" w:color="auto"/>
              <w:left w:val="single" w:sz="6" w:space="0" w:color="auto"/>
              <w:bottom w:val="single" w:sz="6" w:space="0" w:color="auto"/>
              <w:right w:val="single" w:sz="6" w:space="0" w:color="auto"/>
            </w:tcBorders>
          </w:tcPr>
          <w:p w14:paraId="7793CB3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5,368</w:t>
            </w:r>
          </w:p>
        </w:tc>
        <w:tc>
          <w:tcPr>
            <w:tcW w:w="1534" w:type="dxa"/>
            <w:tcBorders>
              <w:top w:val="single" w:sz="6" w:space="0" w:color="auto"/>
              <w:left w:val="single" w:sz="6" w:space="0" w:color="auto"/>
              <w:bottom w:val="single" w:sz="6" w:space="0" w:color="auto"/>
              <w:right w:val="single" w:sz="6" w:space="0" w:color="auto"/>
            </w:tcBorders>
          </w:tcPr>
          <w:p w14:paraId="7BE84EB4"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48.0</w:t>
            </w:r>
          </w:p>
        </w:tc>
        <w:tc>
          <w:tcPr>
            <w:tcW w:w="1534" w:type="dxa"/>
            <w:tcBorders>
              <w:top w:val="single" w:sz="6" w:space="0" w:color="auto"/>
              <w:left w:val="single" w:sz="6" w:space="0" w:color="auto"/>
              <w:bottom w:val="single" w:sz="6" w:space="0" w:color="auto"/>
              <w:right w:val="single" w:sz="6" w:space="0" w:color="auto"/>
            </w:tcBorders>
          </w:tcPr>
          <w:p w14:paraId="1A20391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2,605</w:t>
            </w:r>
          </w:p>
        </w:tc>
        <w:tc>
          <w:tcPr>
            <w:tcW w:w="1534" w:type="dxa"/>
            <w:tcBorders>
              <w:top w:val="single" w:sz="6" w:space="0" w:color="auto"/>
              <w:left w:val="single" w:sz="6" w:space="0" w:color="auto"/>
              <w:bottom w:val="single" w:sz="6" w:space="0" w:color="auto"/>
              <w:right w:val="single" w:sz="6" w:space="0" w:color="auto"/>
            </w:tcBorders>
          </w:tcPr>
          <w:p w14:paraId="613BF2C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23.3</w:t>
            </w:r>
          </w:p>
        </w:tc>
        <w:tc>
          <w:tcPr>
            <w:tcW w:w="1534" w:type="dxa"/>
            <w:tcBorders>
              <w:top w:val="single" w:sz="6" w:space="0" w:color="auto"/>
              <w:left w:val="single" w:sz="6" w:space="0" w:color="auto"/>
              <w:bottom w:val="single" w:sz="6" w:space="0" w:color="auto"/>
              <w:right w:val="single" w:sz="6" w:space="0" w:color="auto"/>
            </w:tcBorders>
          </w:tcPr>
          <w:p w14:paraId="53DD0BE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3,201</w:t>
            </w:r>
          </w:p>
        </w:tc>
        <w:tc>
          <w:tcPr>
            <w:tcW w:w="1534" w:type="dxa"/>
            <w:tcBorders>
              <w:top w:val="single" w:sz="6" w:space="0" w:color="auto"/>
              <w:left w:val="single" w:sz="6" w:space="0" w:color="auto"/>
              <w:bottom w:val="single" w:sz="6" w:space="0" w:color="auto"/>
              <w:right w:val="single" w:sz="6" w:space="0" w:color="auto"/>
            </w:tcBorders>
          </w:tcPr>
          <w:p w14:paraId="621DF6A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28.6</w:t>
            </w:r>
          </w:p>
        </w:tc>
      </w:tr>
      <w:tr w:rsidR="00AD5246" w:rsidRPr="00392E0D" w14:paraId="0BC883D3" w14:textId="77777777" w:rsidTr="00020189">
        <w:trPr>
          <w:trHeight w:val="311"/>
        </w:trPr>
        <w:tc>
          <w:tcPr>
            <w:tcW w:w="1025" w:type="dxa"/>
            <w:tcBorders>
              <w:top w:val="single" w:sz="6" w:space="0" w:color="auto"/>
              <w:left w:val="single" w:sz="6" w:space="0" w:color="auto"/>
              <w:bottom w:val="single" w:sz="6" w:space="0" w:color="auto"/>
              <w:right w:val="single" w:sz="6" w:space="0" w:color="auto"/>
            </w:tcBorders>
          </w:tcPr>
          <w:p w14:paraId="27D3B42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33" w:type="dxa"/>
            <w:tcBorders>
              <w:top w:val="single" w:sz="6" w:space="0" w:color="auto"/>
              <w:left w:val="single" w:sz="6" w:space="0" w:color="auto"/>
              <w:bottom w:val="single" w:sz="6" w:space="0" w:color="auto"/>
              <w:right w:val="single" w:sz="6" w:space="0" w:color="auto"/>
            </w:tcBorders>
          </w:tcPr>
          <w:p w14:paraId="7FB362A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8,140</w:t>
            </w:r>
          </w:p>
        </w:tc>
        <w:tc>
          <w:tcPr>
            <w:tcW w:w="1534" w:type="dxa"/>
            <w:tcBorders>
              <w:top w:val="single" w:sz="6" w:space="0" w:color="auto"/>
              <w:left w:val="single" w:sz="6" w:space="0" w:color="auto"/>
              <w:bottom w:val="single" w:sz="6" w:space="0" w:color="auto"/>
              <w:right w:val="single" w:sz="6" w:space="0" w:color="auto"/>
            </w:tcBorders>
          </w:tcPr>
          <w:p w14:paraId="1FDCB81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58.1</w:t>
            </w:r>
          </w:p>
        </w:tc>
        <w:tc>
          <w:tcPr>
            <w:tcW w:w="1534" w:type="dxa"/>
            <w:tcBorders>
              <w:top w:val="single" w:sz="6" w:space="0" w:color="auto"/>
              <w:left w:val="single" w:sz="6" w:space="0" w:color="auto"/>
              <w:bottom w:val="single" w:sz="6" w:space="0" w:color="auto"/>
              <w:right w:val="single" w:sz="6" w:space="0" w:color="auto"/>
            </w:tcBorders>
          </w:tcPr>
          <w:p w14:paraId="718F74A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2,735</w:t>
            </w:r>
          </w:p>
        </w:tc>
        <w:tc>
          <w:tcPr>
            <w:tcW w:w="1534" w:type="dxa"/>
            <w:tcBorders>
              <w:top w:val="single" w:sz="6" w:space="0" w:color="auto"/>
              <w:left w:val="single" w:sz="6" w:space="0" w:color="auto"/>
              <w:bottom w:val="single" w:sz="6" w:space="0" w:color="auto"/>
              <w:right w:val="single" w:sz="6" w:space="0" w:color="auto"/>
            </w:tcBorders>
          </w:tcPr>
          <w:p w14:paraId="277B98F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19.5</w:t>
            </w:r>
          </w:p>
        </w:tc>
        <w:tc>
          <w:tcPr>
            <w:tcW w:w="1534" w:type="dxa"/>
            <w:tcBorders>
              <w:top w:val="single" w:sz="6" w:space="0" w:color="auto"/>
              <w:left w:val="single" w:sz="6" w:space="0" w:color="auto"/>
              <w:bottom w:val="single" w:sz="6" w:space="0" w:color="auto"/>
              <w:right w:val="single" w:sz="6" w:space="0" w:color="auto"/>
            </w:tcBorders>
          </w:tcPr>
          <w:p w14:paraId="4BA720B4"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3,142</w:t>
            </w:r>
          </w:p>
        </w:tc>
        <w:tc>
          <w:tcPr>
            <w:tcW w:w="1534" w:type="dxa"/>
            <w:tcBorders>
              <w:top w:val="single" w:sz="6" w:space="0" w:color="auto"/>
              <w:left w:val="single" w:sz="6" w:space="0" w:color="auto"/>
              <w:bottom w:val="single" w:sz="6" w:space="0" w:color="auto"/>
              <w:right w:val="single" w:sz="6" w:space="0" w:color="auto"/>
            </w:tcBorders>
          </w:tcPr>
          <w:p w14:paraId="659E7A5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22.4</w:t>
            </w:r>
          </w:p>
        </w:tc>
      </w:tr>
      <w:tr w:rsidR="00AD5246" w:rsidRPr="00392E0D" w14:paraId="324181A7"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2675E0D0"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33" w:type="dxa"/>
            <w:tcBorders>
              <w:top w:val="single" w:sz="6" w:space="0" w:color="auto"/>
              <w:left w:val="single" w:sz="6" w:space="0" w:color="auto"/>
              <w:bottom w:val="single" w:sz="6" w:space="0" w:color="auto"/>
              <w:right w:val="single" w:sz="6" w:space="0" w:color="auto"/>
            </w:tcBorders>
          </w:tcPr>
          <w:p w14:paraId="133E570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9,972</w:t>
            </w:r>
          </w:p>
        </w:tc>
        <w:tc>
          <w:tcPr>
            <w:tcW w:w="1534" w:type="dxa"/>
            <w:tcBorders>
              <w:top w:val="single" w:sz="6" w:space="0" w:color="auto"/>
              <w:left w:val="single" w:sz="6" w:space="0" w:color="auto"/>
              <w:bottom w:val="single" w:sz="6" w:space="0" w:color="auto"/>
              <w:right w:val="single" w:sz="6" w:space="0" w:color="auto"/>
            </w:tcBorders>
          </w:tcPr>
          <w:p w14:paraId="599D0AEB"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62.8</w:t>
            </w:r>
          </w:p>
        </w:tc>
        <w:tc>
          <w:tcPr>
            <w:tcW w:w="1534" w:type="dxa"/>
            <w:tcBorders>
              <w:top w:val="single" w:sz="6" w:space="0" w:color="auto"/>
              <w:left w:val="single" w:sz="6" w:space="0" w:color="auto"/>
              <w:bottom w:val="single" w:sz="6" w:space="0" w:color="auto"/>
              <w:right w:val="single" w:sz="6" w:space="0" w:color="auto"/>
            </w:tcBorders>
          </w:tcPr>
          <w:p w14:paraId="78B8CAB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2,698</w:t>
            </w:r>
          </w:p>
        </w:tc>
        <w:tc>
          <w:tcPr>
            <w:tcW w:w="1534" w:type="dxa"/>
            <w:tcBorders>
              <w:top w:val="single" w:sz="6" w:space="0" w:color="auto"/>
              <w:left w:val="single" w:sz="6" w:space="0" w:color="auto"/>
              <w:bottom w:val="single" w:sz="6" w:space="0" w:color="auto"/>
              <w:right w:val="single" w:sz="6" w:space="0" w:color="auto"/>
            </w:tcBorders>
          </w:tcPr>
          <w:p w14:paraId="644687A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17.0</w:t>
            </w:r>
          </w:p>
        </w:tc>
        <w:tc>
          <w:tcPr>
            <w:tcW w:w="1534" w:type="dxa"/>
            <w:tcBorders>
              <w:top w:val="single" w:sz="6" w:space="0" w:color="auto"/>
              <w:left w:val="single" w:sz="6" w:space="0" w:color="auto"/>
              <w:bottom w:val="single" w:sz="6" w:space="0" w:color="auto"/>
              <w:right w:val="single" w:sz="6" w:space="0" w:color="auto"/>
            </w:tcBorders>
          </w:tcPr>
          <w:p w14:paraId="00D001F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3,199</w:t>
            </w:r>
          </w:p>
        </w:tc>
        <w:tc>
          <w:tcPr>
            <w:tcW w:w="1534" w:type="dxa"/>
            <w:tcBorders>
              <w:top w:val="single" w:sz="6" w:space="0" w:color="auto"/>
              <w:left w:val="single" w:sz="6" w:space="0" w:color="auto"/>
              <w:bottom w:val="single" w:sz="6" w:space="0" w:color="auto"/>
              <w:right w:val="single" w:sz="6" w:space="0" w:color="auto"/>
            </w:tcBorders>
          </w:tcPr>
          <w:p w14:paraId="46E74B5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w:t>
            </w:r>
          </w:p>
        </w:tc>
      </w:tr>
      <w:tr w:rsidR="00AD5246" w:rsidRPr="00392E0D" w14:paraId="468D3D9F"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1617A216"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33" w:type="dxa"/>
            <w:tcBorders>
              <w:top w:val="single" w:sz="6" w:space="0" w:color="auto"/>
              <w:left w:val="single" w:sz="6" w:space="0" w:color="auto"/>
              <w:bottom w:val="single" w:sz="6" w:space="0" w:color="auto"/>
              <w:right w:val="single" w:sz="6" w:space="0" w:color="auto"/>
            </w:tcBorders>
          </w:tcPr>
          <w:p w14:paraId="23B1E53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10,966</w:t>
            </w:r>
          </w:p>
        </w:tc>
        <w:tc>
          <w:tcPr>
            <w:tcW w:w="1534" w:type="dxa"/>
            <w:tcBorders>
              <w:top w:val="single" w:sz="6" w:space="0" w:color="auto"/>
              <w:left w:val="single" w:sz="6" w:space="0" w:color="auto"/>
              <w:bottom w:val="single" w:sz="6" w:space="0" w:color="auto"/>
              <w:right w:val="single" w:sz="6" w:space="0" w:color="auto"/>
            </w:tcBorders>
          </w:tcPr>
          <w:p w14:paraId="7AB3EDF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62.6</w:t>
            </w:r>
          </w:p>
        </w:tc>
        <w:tc>
          <w:tcPr>
            <w:tcW w:w="1534" w:type="dxa"/>
            <w:tcBorders>
              <w:top w:val="single" w:sz="6" w:space="0" w:color="auto"/>
              <w:left w:val="single" w:sz="6" w:space="0" w:color="auto"/>
              <w:bottom w:val="single" w:sz="6" w:space="0" w:color="auto"/>
              <w:right w:val="single" w:sz="6" w:space="0" w:color="auto"/>
            </w:tcBorders>
          </w:tcPr>
          <w:p w14:paraId="63BCD4ED"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2,925</w:t>
            </w:r>
          </w:p>
        </w:tc>
        <w:tc>
          <w:tcPr>
            <w:tcW w:w="1534" w:type="dxa"/>
            <w:tcBorders>
              <w:top w:val="single" w:sz="6" w:space="0" w:color="auto"/>
              <w:left w:val="single" w:sz="6" w:space="0" w:color="auto"/>
              <w:bottom w:val="single" w:sz="6" w:space="0" w:color="auto"/>
              <w:right w:val="single" w:sz="6" w:space="0" w:color="auto"/>
            </w:tcBorders>
          </w:tcPr>
          <w:p w14:paraId="5E416AED"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16.7</w:t>
            </w:r>
          </w:p>
        </w:tc>
        <w:tc>
          <w:tcPr>
            <w:tcW w:w="1534" w:type="dxa"/>
            <w:tcBorders>
              <w:top w:val="single" w:sz="6" w:space="0" w:color="auto"/>
              <w:left w:val="single" w:sz="6" w:space="0" w:color="auto"/>
              <w:bottom w:val="single" w:sz="6" w:space="0" w:color="auto"/>
              <w:right w:val="single" w:sz="6" w:space="0" w:color="auto"/>
            </w:tcBorders>
          </w:tcPr>
          <w:p w14:paraId="0EAFF65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3,626</w:t>
            </w:r>
          </w:p>
        </w:tc>
        <w:tc>
          <w:tcPr>
            <w:tcW w:w="1534" w:type="dxa"/>
            <w:tcBorders>
              <w:top w:val="single" w:sz="6" w:space="0" w:color="auto"/>
              <w:left w:val="single" w:sz="6" w:space="0" w:color="auto"/>
              <w:bottom w:val="single" w:sz="6" w:space="0" w:color="auto"/>
              <w:right w:val="single" w:sz="6" w:space="0" w:color="auto"/>
            </w:tcBorders>
          </w:tcPr>
          <w:p w14:paraId="0F8A453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20.7</w:t>
            </w:r>
          </w:p>
        </w:tc>
      </w:tr>
      <w:tr w:rsidR="00AD5246" w:rsidRPr="00392E0D" w14:paraId="23CFE930"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3381C7E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33" w:type="dxa"/>
            <w:tcBorders>
              <w:top w:val="single" w:sz="6" w:space="0" w:color="auto"/>
              <w:left w:val="single" w:sz="6" w:space="0" w:color="auto"/>
              <w:bottom w:val="single" w:sz="6" w:space="0" w:color="auto"/>
              <w:right w:val="single" w:sz="6" w:space="0" w:color="auto"/>
            </w:tcBorders>
          </w:tcPr>
          <w:p w14:paraId="14DF3CF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10,989</w:t>
            </w:r>
          </w:p>
        </w:tc>
        <w:tc>
          <w:tcPr>
            <w:tcW w:w="1534" w:type="dxa"/>
            <w:tcBorders>
              <w:top w:val="single" w:sz="6" w:space="0" w:color="auto"/>
              <w:left w:val="single" w:sz="6" w:space="0" w:color="auto"/>
              <w:bottom w:val="single" w:sz="6" w:space="0" w:color="auto"/>
              <w:right w:val="single" w:sz="6" w:space="0" w:color="auto"/>
            </w:tcBorders>
          </w:tcPr>
          <w:p w14:paraId="5332AB3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59.4</w:t>
            </w:r>
          </w:p>
        </w:tc>
        <w:tc>
          <w:tcPr>
            <w:tcW w:w="1534" w:type="dxa"/>
            <w:tcBorders>
              <w:top w:val="single" w:sz="6" w:space="0" w:color="auto"/>
              <w:left w:val="single" w:sz="6" w:space="0" w:color="auto"/>
              <w:bottom w:val="single" w:sz="6" w:space="0" w:color="auto"/>
              <w:right w:val="single" w:sz="6" w:space="0" w:color="auto"/>
            </w:tcBorders>
          </w:tcPr>
          <w:p w14:paraId="59DF54DD"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3,350</w:t>
            </w:r>
          </w:p>
        </w:tc>
        <w:tc>
          <w:tcPr>
            <w:tcW w:w="1534" w:type="dxa"/>
            <w:tcBorders>
              <w:top w:val="single" w:sz="6" w:space="0" w:color="auto"/>
              <w:left w:val="single" w:sz="6" w:space="0" w:color="auto"/>
              <w:bottom w:val="single" w:sz="6" w:space="0" w:color="auto"/>
              <w:right w:val="single" w:sz="6" w:space="0" w:color="auto"/>
            </w:tcBorders>
          </w:tcPr>
          <w:p w14:paraId="67C7941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18.1</w:t>
            </w:r>
          </w:p>
        </w:tc>
        <w:tc>
          <w:tcPr>
            <w:tcW w:w="1534" w:type="dxa"/>
            <w:tcBorders>
              <w:top w:val="single" w:sz="6" w:space="0" w:color="auto"/>
              <w:left w:val="single" w:sz="6" w:space="0" w:color="auto"/>
              <w:bottom w:val="single" w:sz="6" w:space="0" w:color="auto"/>
              <w:right w:val="single" w:sz="6" w:space="0" w:color="auto"/>
            </w:tcBorders>
          </w:tcPr>
          <w:p w14:paraId="6E897FE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4,157</w:t>
            </w:r>
          </w:p>
        </w:tc>
        <w:tc>
          <w:tcPr>
            <w:tcW w:w="1534" w:type="dxa"/>
            <w:tcBorders>
              <w:top w:val="single" w:sz="6" w:space="0" w:color="auto"/>
              <w:left w:val="single" w:sz="6" w:space="0" w:color="auto"/>
              <w:bottom w:val="single" w:sz="6" w:space="0" w:color="auto"/>
              <w:right w:val="single" w:sz="6" w:space="0" w:color="auto"/>
            </w:tcBorders>
          </w:tcPr>
          <w:p w14:paraId="2BFCFF0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22.5</w:t>
            </w:r>
          </w:p>
        </w:tc>
      </w:tr>
    </w:tbl>
    <w:p w14:paraId="686779D1" w14:textId="7F14F52A" w:rsidR="00AD5246" w:rsidRPr="00392E0D" w:rsidRDefault="00AD5246" w:rsidP="00AD5246">
      <w:pPr>
        <w:pStyle w:val="Caption"/>
        <w:keepNext/>
        <w:rPr>
          <w:rFonts w:eastAsiaTheme="minorHAnsi" w:cs="Arial"/>
          <w:color w:val="00000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18</w:t>
      </w:r>
      <w:r w:rsidRPr="00392E0D">
        <w:rPr>
          <w:rFonts w:cs="Arial"/>
        </w:rPr>
        <w:fldChar w:fldCharType="end"/>
      </w:r>
      <w:r w:rsidRPr="00392E0D">
        <w:rPr>
          <w:rFonts w:cs="Arial"/>
        </w:rPr>
        <w:tab/>
      </w:r>
      <w:r w:rsidRPr="00392E0D">
        <w:rPr>
          <w:rFonts w:eastAsiaTheme="minorHAnsi" w:cs="Arial"/>
        </w:rPr>
        <w:t xml:space="preserve">Aboriginal and Torres Strait Islander </w:t>
      </w:r>
      <w:proofErr w:type="gramStart"/>
      <w:r w:rsidRPr="00392E0D">
        <w:rPr>
          <w:rFonts w:eastAsiaTheme="minorHAnsi" w:cs="Arial"/>
        </w:rPr>
        <w:t>children</w:t>
      </w:r>
      <w:proofErr w:type="gramEnd"/>
      <w:r w:rsidRPr="00392E0D">
        <w:rPr>
          <w:rFonts w:eastAsiaTheme="minorHAnsi" w:cs="Arial"/>
        </w:rPr>
        <w:t xml:space="preserve"> trends for Communication skills and general</w:t>
      </w:r>
      <w:r w:rsidRPr="00392E0D">
        <w:rPr>
          <w:rFonts w:eastAsiaTheme="minorHAnsi" w:cs="Arial"/>
          <w:color w:val="000000"/>
          <w:lang w:val="en-AU"/>
        </w:rPr>
        <w:t xml:space="preserve"> knowledge domain, all collections</w:t>
      </w:r>
    </w:p>
    <w:tbl>
      <w:tblPr>
        <w:tblW w:w="10228" w:type="dxa"/>
        <w:tblInd w:w="-30" w:type="dxa"/>
        <w:tblLayout w:type="fixed"/>
        <w:tblLook w:val="0000" w:firstRow="0" w:lastRow="0" w:firstColumn="0" w:lastColumn="0" w:noHBand="0" w:noVBand="0"/>
      </w:tblPr>
      <w:tblGrid>
        <w:gridCol w:w="1025"/>
        <w:gridCol w:w="1533"/>
        <w:gridCol w:w="1534"/>
        <w:gridCol w:w="1534"/>
        <w:gridCol w:w="1534"/>
        <w:gridCol w:w="1534"/>
        <w:gridCol w:w="1534"/>
      </w:tblGrid>
      <w:tr w:rsidR="00AD5246" w:rsidRPr="00392E0D" w14:paraId="26722695" w14:textId="77777777" w:rsidTr="008872DA">
        <w:trPr>
          <w:trHeight w:val="287"/>
          <w:tblHeader/>
        </w:trPr>
        <w:tc>
          <w:tcPr>
            <w:tcW w:w="1025" w:type="dxa"/>
            <w:tcBorders>
              <w:top w:val="single" w:sz="6" w:space="0" w:color="auto"/>
              <w:left w:val="single" w:sz="6" w:space="0" w:color="auto"/>
              <w:bottom w:val="single" w:sz="6" w:space="0" w:color="auto"/>
              <w:right w:val="single" w:sz="6" w:space="0" w:color="auto"/>
            </w:tcBorders>
            <w:vAlign w:val="bottom"/>
          </w:tcPr>
          <w:p w14:paraId="45ED7D26"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p>
        </w:tc>
        <w:tc>
          <w:tcPr>
            <w:tcW w:w="1533" w:type="dxa"/>
            <w:tcBorders>
              <w:top w:val="single" w:sz="6" w:space="0" w:color="auto"/>
              <w:left w:val="single" w:sz="6" w:space="0" w:color="auto"/>
              <w:bottom w:val="single" w:sz="6" w:space="0" w:color="auto"/>
              <w:right w:val="single" w:sz="6" w:space="0" w:color="auto"/>
            </w:tcBorders>
            <w:vAlign w:val="bottom"/>
          </w:tcPr>
          <w:p w14:paraId="42E6EA14"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(n)</w:t>
            </w:r>
          </w:p>
        </w:tc>
        <w:tc>
          <w:tcPr>
            <w:tcW w:w="1534" w:type="dxa"/>
            <w:tcBorders>
              <w:top w:val="single" w:sz="6" w:space="0" w:color="auto"/>
              <w:left w:val="single" w:sz="6" w:space="0" w:color="auto"/>
              <w:bottom w:val="single" w:sz="6" w:space="0" w:color="auto"/>
              <w:right w:val="single" w:sz="6" w:space="0" w:color="auto"/>
            </w:tcBorders>
            <w:vAlign w:val="bottom"/>
          </w:tcPr>
          <w:p w14:paraId="2FAEE1D9"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On track (%)</w:t>
            </w:r>
          </w:p>
        </w:tc>
        <w:tc>
          <w:tcPr>
            <w:tcW w:w="1534" w:type="dxa"/>
            <w:tcBorders>
              <w:top w:val="single" w:sz="6" w:space="0" w:color="auto"/>
              <w:left w:val="single" w:sz="6" w:space="0" w:color="auto"/>
              <w:bottom w:val="single" w:sz="6" w:space="0" w:color="auto"/>
              <w:right w:val="single" w:sz="6" w:space="0" w:color="auto"/>
            </w:tcBorders>
            <w:vAlign w:val="bottom"/>
          </w:tcPr>
          <w:p w14:paraId="631B20D7"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(n)</w:t>
            </w:r>
          </w:p>
        </w:tc>
        <w:tc>
          <w:tcPr>
            <w:tcW w:w="1534" w:type="dxa"/>
            <w:tcBorders>
              <w:top w:val="single" w:sz="6" w:space="0" w:color="auto"/>
              <w:left w:val="single" w:sz="6" w:space="0" w:color="auto"/>
              <w:bottom w:val="single" w:sz="6" w:space="0" w:color="auto"/>
              <w:right w:val="single" w:sz="6" w:space="0" w:color="auto"/>
            </w:tcBorders>
            <w:vAlign w:val="bottom"/>
          </w:tcPr>
          <w:p w14:paraId="22C7BE3C"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 (%)</w:t>
            </w:r>
          </w:p>
        </w:tc>
        <w:tc>
          <w:tcPr>
            <w:tcW w:w="1534" w:type="dxa"/>
            <w:tcBorders>
              <w:top w:val="single" w:sz="6" w:space="0" w:color="auto"/>
              <w:left w:val="single" w:sz="6" w:space="0" w:color="auto"/>
              <w:bottom w:val="single" w:sz="6" w:space="0" w:color="auto"/>
              <w:right w:val="single" w:sz="6" w:space="0" w:color="auto"/>
            </w:tcBorders>
            <w:vAlign w:val="bottom"/>
          </w:tcPr>
          <w:p w14:paraId="63D9CD60"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(n)</w:t>
            </w:r>
          </w:p>
        </w:tc>
        <w:tc>
          <w:tcPr>
            <w:tcW w:w="1534" w:type="dxa"/>
            <w:tcBorders>
              <w:top w:val="single" w:sz="6" w:space="0" w:color="auto"/>
              <w:left w:val="single" w:sz="6" w:space="0" w:color="auto"/>
              <w:bottom w:val="single" w:sz="6" w:space="0" w:color="auto"/>
              <w:right w:val="single" w:sz="6" w:space="0" w:color="auto"/>
            </w:tcBorders>
            <w:vAlign w:val="bottom"/>
          </w:tcPr>
          <w:p w14:paraId="35A8C3F4" w14:textId="77777777" w:rsidR="00AD5246" w:rsidRPr="00392E0D" w:rsidRDefault="00AD5246" w:rsidP="008872D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 (%)</w:t>
            </w:r>
          </w:p>
        </w:tc>
      </w:tr>
      <w:tr w:rsidR="00AD5246" w:rsidRPr="00392E0D" w14:paraId="0B8FA0EF"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043EEBC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533" w:type="dxa"/>
            <w:tcBorders>
              <w:top w:val="single" w:sz="6" w:space="0" w:color="auto"/>
              <w:left w:val="single" w:sz="6" w:space="0" w:color="auto"/>
              <w:bottom w:val="single" w:sz="6" w:space="0" w:color="auto"/>
              <w:right w:val="single" w:sz="6" w:space="0" w:color="auto"/>
            </w:tcBorders>
          </w:tcPr>
          <w:p w14:paraId="7CE846B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6,271</w:t>
            </w:r>
          </w:p>
        </w:tc>
        <w:tc>
          <w:tcPr>
            <w:tcW w:w="1534" w:type="dxa"/>
            <w:tcBorders>
              <w:top w:val="single" w:sz="6" w:space="0" w:color="auto"/>
              <w:left w:val="single" w:sz="6" w:space="0" w:color="auto"/>
              <w:bottom w:val="single" w:sz="6" w:space="0" w:color="auto"/>
              <w:right w:val="single" w:sz="6" w:space="0" w:color="auto"/>
            </w:tcBorders>
          </w:tcPr>
          <w:p w14:paraId="75ED223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w:t>
            </w:r>
          </w:p>
        </w:tc>
        <w:tc>
          <w:tcPr>
            <w:tcW w:w="1534" w:type="dxa"/>
            <w:tcBorders>
              <w:top w:val="single" w:sz="6" w:space="0" w:color="auto"/>
              <w:left w:val="single" w:sz="6" w:space="0" w:color="auto"/>
              <w:bottom w:val="single" w:sz="6" w:space="0" w:color="auto"/>
              <w:right w:val="single" w:sz="6" w:space="0" w:color="auto"/>
            </w:tcBorders>
          </w:tcPr>
          <w:p w14:paraId="25463BB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2,566</w:t>
            </w:r>
          </w:p>
        </w:tc>
        <w:tc>
          <w:tcPr>
            <w:tcW w:w="1534" w:type="dxa"/>
            <w:tcBorders>
              <w:top w:val="single" w:sz="6" w:space="0" w:color="auto"/>
              <w:left w:val="single" w:sz="6" w:space="0" w:color="auto"/>
              <w:bottom w:val="single" w:sz="6" w:space="0" w:color="auto"/>
              <w:right w:val="single" w:sz="6" w:space="0" w:color="auto"/>
            </w:tcBorders>
          </w:tcPr>
          <w:p w14:paraId="126DF46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22.9</w:t>
            </w:r>
          </w:p>
        </w:tc>
        <w:tc>
          <w:tcPr>
            <w:tcW w:w="1534" w:type="dxa"/>
            <w:tcBorders>
              <w:top w:val="single" w:sz="6" w:space="0" w:color="auto"/>
              <w:left w:val="single" w:sz="6" w:space="0" w:color="auto"/>
              <w:bottom w:val="single" w:sz="6" w:space="0" w:color="auto"/>
              <w:right w:val="single" w:sz="6" w:space="0" w:color="auto"/>
            </w:tcBorders>
          </w:tcPr>
          <w:p w14:paraId="1F462F9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2,391</w:t>
            </w:r>
          </w:p>
        </w:tc>
        <w:tc>
          <w:tcPr>
            <w:tcW w:w="1534" w:type="dxa"/>
            <w:tcBorders>
              <w:top w:val="single" w:sz="6" w:space="0" w:color="auto"/>
              <w:left w:val="single" w:sz="6" w:space="0" w:color="auto"/>
              <w:bottom w:val="single" w:sz="6" w:space="0" w:color="auto"/>
              <w:right w:val="single" w:sz="6" w:space="0" w:color="auto"/>
            </w:tcBorders>
          </w:tcPr>
          <w:p w14:paraId="629BBC3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21.3</w:t>
            </w:r>
          </w:p>
        </w:tc>
      </w:tr>
      <w:tr w:rsidR="00AD5246" w:rsidRPr="00392E0D" w14:paraId="28D293C0"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201DB157"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533" w:type="dxa"/>
            <w:tcBorders>
              <w:top w:val="single" w:sz="6" w:space="0" w:color="auto"/>
              <w:left w:val="single" w:sz="6" w:space="0" w:color="auto"/>
              <w:bottom w:val="single" w:sz="6" w:space="0" w:color="auto"/>
              <w:right w:val="single" w:sz="6" w:space="0" w:color="auto"/>
            </w:tcBorders>
          </w:tcPr>
          <w:p w14:paraId="2E29192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8,100</w:t>
            </w:r>
          </w:p>
        </w:tc>
        <w:tc>
          <w:tcPr>
            <w:tcW w:w="1534" w:type="dxa"/>
            <w:tcBorders>
              <w:top w:val="single" w:sz="6" w:space="0" w:color="auto"/>
              <w:left w:val="single" w:sz="6" w:space="0" w:color="auto"/>
              <w:bottom w:val="single" w:sz="6" w:space="0" w:color="auto"/>
              <w:right w:val="single" w:sz="6" w:space="0" w:color="auto"/>
            </w:tcBorders>
          </w:tcPr>
          <w:p w14:paraId="79B65F4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57.6</w:t>
            </w:r>
          </w:p>
        </w:tc>
        <w:tc>
          <w:tcPr>
            <w:tcW w:w="1534" w:type="dxa"/>
            <w:tcBorders>
              <w:top w:val="single" w:sz="6" w:space="0" w:color="auto"/>
              <w:left w:val="single" w:sz="6" w:space="0" w:color="auto"/>
              <w:bottom w:val="single" w:sz="6" w:space="0" w:color="auto"/>
              <w:right w:val="single" w:sz="6" w:space="0" w:color="auto"/>
            </w:tcBorders>
          </w:tcPr>
          <w:p w14:paraId="64731C6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3,159</w:t>
            </w:r>
          </w:p>
        </w:tc>
        <w:tc>
          <w:tcPr>
            <w:tcW w:w="1534" w:type="dxa"/>
            <w:tcBorders>
              <w:top w:val="single" w:sz="6" w:space="0" w:color="auto"/>
              <w:left w:val="single" w:sz="6" w:space="0" w:color="auto"/>
              <w:bottom w:val="single" w:sz="6" w:space="0" w:color="auto"/>
              <w:right w:val="single" w:sz="6" w:space="0" w:color="auto"/>
            </w:tcBorders>
          </w:tcPr>
          <w:p w14:paraId="2F14CEEB"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22.5</w:t>
            </w:r>
          </w:p>
        </w:tc>
        <w:tc>
          <w:tcPr>
            <w:tcW w:w="1534" w:type="dxa"/>
            <w:tcBorders>
              <w:top w:val="single" w:sz="6" w:space="0" w:color="auto"/>
              <w:left w:val="single" w:sz="6" w:space="0" w:color="auto"/>
              <w:bottom w:val="single" w:sz="6" w:space="0" w:color="auto"/>
              <w:right w:val="single" w:sz="6" w:space="0" w:color="auto"/>
            </w:tcBorders>
          </w:tcPr>
          <w:p w14:paraId="4C52D5C0"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2,798</w:t>
            </w:r>
          </w:p>
        </w:tc>
        <w:tc>
          <w:tcPr>
            <w:tcW w:w="1534" w:type="dxa"/>
            <w:tcBorders>
              <w:top w:val="single" w:sz="6" w:space="0" w:color="auto"/>
              <w:left w:val="single" w:sz="6" w:space="0" w:color="auto"/>
              <w:bottom w:val="single" w:sz="6" w:space="0" w:color="auto"/>
              <w:right w:val="single" w:sz="6" w:space="0" w:color="auto"/>
            </w:tcBorders>
          </w:tcPr>
          <w:p w14:paraId="20DF126D"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19.9</w:t>
            </w:r>
          </w:p>
        </w:tc>
      </w:tr>
      <w:tr w:rsidR="00AD5246" w:rsidRPr="00392E0D" w14:paraId="10705F8F"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317AF06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533" w:type="dxa"/>
            <w:tcBorders>
              <w:top w:val="single" w:sz="6" w:space="0" w:color="auto"/>
              <w:left w:val="single" w:sz="6" w:space="0" w:color="auto"/>
              <w:bottom w:val="single" w:sz="6" w:space="0" w:color="auto"/>
              <w:right w:val="single" w:sz="6" w:space="0" w:color="auto"/>
            </w:tcBorders>
          </w:tcPr>
          <w:p w14:paraId="5465C6C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9,468</w:t>
            </w:r>
          </w:p>
        </w:tc>
        <w:tc>
          <w:tcPr>
            <w:tcW w:w="1534" w:type="dxa"/>
            <w:tcBorders>
              <w:top w:val="single" w:sz="6" w:space="0" w:color="auto"/>
              <w:left w:val="single" w:sz="6" w:space="0" w:color="auto"/>
              <w:bottom w:val="single" w:sz="6" w:space="0" w:color="auto"/>
              <w:right w:val="single" w:sz="6" w:space="0" w:color="auto"/>
            </w:tcBorders>
          </w:tcPr>
          <w:p w14:paraId="5F88C4CB"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59.5</w:t>
            </w:r>
          </w:p>
        </w:tc>
        <w:tc>
          <w:tcPr>
            <w:tcW w:w="1534" w:type="dxa"/>
            <w:tcBorders>
              <w:top w:val="single" w:sz="6" w:space="0" w:color="auto"/>
              <w:left w:val="single" w:sz="6" w:space="0" w:color="auto"/>
              <w:bottom w:val="single" w:sz="6" w:space="0" w:color="auto"/>
              <w:right w:val="single" w:sz="6" w:space="0" w:color="auto"/>
            </w:tcBorders>
          </w:tcPr>
          <w:p w14:paraId="1CF2988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3,362</w:t>
            </w:r>
          </w:p>
        </w:tc>
        <w:tc>
          <w:tcPr>
            <w:tcW w:w="1534" w:type="dxa"/>
            <w:tcBorders>
              <w:top w:val="single" w:sz="6" w:space="0" w:color="auto"/>
              <w:left w:val="single" w:sz="6" w:space="0" w:color="auto"/>
              <w:bottom w:val="single" w:sz="6" w:space="0" w:color="auto"/>
              <w:right w:val="single" w:sz="6" w:space="0" w:color="auto"/>
            </w:tcBorders>
          </w:tcPr>
          <w:p w14:paraId="21D26BC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21.1</w:t>
            </w:r>
          </w:p>
        </w:tc>
        <w:tc>
          <w:tcPr>
            <w:tcW w:w="1534" w:type="dxa"/>
            <w:tcBorders>
              <w:top w:val="single" w:sz="6" w:space="0" w:color="auto"/>
              <w:left w:val="single" w:sz="6" w:space="0" w:color="auto"/>
              <w:bottom w:val="single" w:sz="6" w:space="0" w:color="auto"/>
              <w:right w:val="single" w:sz="6" w:space="0" w:color="auto"/>
            </w:tcBorders>
          </w:tcPr>
          <w:p w14:paraId="207C967E"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3,072</w:t>
            </w:r>
          </w:p>
        </w:tc>
        <w:tc>
          <w:tcPr>
            <w:tcW w:w="1534" w:type="dxa"/>
            <w:tcBorders>
              <w:top w:val="single" w:sz="6" w:space="0" w:color="auto"/>
              <w:left w:val="single" w:sz="6" w:space="0" w:color="auto"/>
              <w:bottom w:val="single" w:sz="6" w:space="0" w:color="auto"/>
              <w:right w:val="single" w:sz="6" w:space="0" w:color="auto"/>
            </w:tcBorders>
          </w:tcPr>
          <w:p w14:paraId="66A62F4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19.3</w:t>
            </w:r>
          </w:p>
        </w:tc>
      </w:tr>
      <w:tr w:rsidR="00AD5246" w:rsidRPr="00392E0D" w14:paraId="3DC9BE7E"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420E9D3B"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533" w:type="dxa"/>
            <w:tcBorders>
              <w:top w:val="single" w:sz="6" w:space="0" w:color="auto"/>
              <w:left w:val="single" w:sz="6" w:space="0" w:color="auto"/>
              <w:bottom w:val="single" w:sz="6" w:space="0" w:color="auto"/>
              <w:right w:val="single" w:sz="6" w:space="0" w:color="auto"/>
            </w:tcBorders>
          </w:tcPr>
          <w:p w14:paraId="45B2C7AF"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10,801</w:t>
            </w:r>
          </w:p>
        </w:tc>
        <w:tc>
          <w:tcPr>
            <w:tcW w:w="1534" w:type="dxa"/>
            <w:tcBorders>
              <w:top w:val="single" w:sz="6" w:space="0" w:color="auto"/>
              <w:left w:val="single" w:sz="6" w:space="0" w:color="auto"/>
              <w:bottom w:val="single" w:sz="6" w:space="0" w:color="auto"/>
              <w:right w:val="single" w:sz="6" w:space="0" w:color="auto"/>
            </w:tcBorders>
          </w:tcPr>
          <w:p w14:paraId="76A369F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61.6</w:t>
            </w:r>
          </w:p>
        </w:tc>
        <w:tc>
          <w:tcPr>
            <w:tcW w:w="1534" w:type="dxa"/>
            <w:tcBorders>
              <w:top w:val="single" w:sz="6" w:space="0" w:color="auto"/>
              <w:left w:val="single" w:sz="6" w:space="0" w:color="auto"/>
              <w:bottom w:val="single" w:sz="6" w:space="0" w:color="auto"/>
              <w:right w:val="single" w:sz="6" w:space="0" w:color="auto"/>
            </w:tcBorders>
          </w:tcPr>
          <w:p w14:paraId="7624864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3,490</w:t>
            </w:r>
          </w:p>
        </w:tc>
        <w:tc>
          <w:tcPr>
            <w:tcW w:w="1534" w:type="dxa"/>
            <w:tcBorders>
              <w:top w:val="single" w:sz="6" w:space="0" w:color="auto"/>
              <w:left w:val="single" w:sz="6" w:space="0" w:color="auto"/>
              <w:bottom w:val="single" w:sz="6" w:space="0" w:color="auto"/>
              <w:right w:val="single" w:sz="6" w:space="0" w:color="auto"/>
            </w:tcBorders>
          </w:tcPr>
          <w:p w14:paraId="723FA34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19.9</w:t>
            </w:r>
          </w:p>
        </w:tc>
        <w:tc>
          <w:tcPr>
            <w:tcW w:w="1534" w:type="dxa"/>
            <w:tcBorders>
              <w:top w:val="single" w:sz="6" w:space="0" w:color="auto"/>
              <w:left w:val="single" w:sz="6" w:space="0" w:color="auto"/>
              <w:bottom w:val="single" w:sz="6" w:space="0" w:color="auto"/>
              <w:right w:val="single" w:sz="6" w:space="0" w:color="auto"/>
            </w:tcBorders>
          </w:tcPr>
          <w:p w14:paraId="0E6722F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3,256</w:t>
            </w:r>
          </w:p>
        </w:tc>
        <w:tc>
          <w:tcPr>
            <w:tcW w:w="1534" w:type="dxa"/>
            <w:tcBorders>
              <w:top w:val="single" w:sz="6" w:space="0" w:color="auto"/>
              <w:left w:val="single" w:sz="6" w:space="0" w:color="auto"/>
              <w:bottom w:val="single" w:sz="6" w:space="0" w:color="auto"/>
              <w:right w:val="single" w:sz="6" w:space="0" w:color="auto"/>
            </w:tcBorders>
          </w:tcPr>
          <w:p w14:paraId="25B57802"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18.6</w:t>
            </w:r>
          </w:p>
        </w:tc>
      </w:tr>
      <w:tr w:rsidR="00AD5246" w:rsidRPr="00392E0D" w14:paraId="78330C40" w14:textId="77777777" w:rsidTr="00020189">
        <w:trPr>
          <w:trHeight w:val="287"/>
        </w:trPr>
        <w:tc>
          <w:tcPr>
            <w:tcW w:w="1025" w:type="dxa"/>
            <w:tcBorders>
              <w:top w:val="single" w:sz="6" w:space="0" w:color="auto"/>
              <w:left w:val="single" w:sz="6" w:space="0" w:color="auto"/>
              <w:bottom w:val="single" w:sz="6" w:space="0" w:color="auto"/>
              <w:right w:val="single" w:sz="6" w:space="0" w:color="auto"/>
            </w:tcBorders>
          </w:tcPr>
          <w:p w14:paraId="7F9DB279"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533" w:type="dxa"/>
            <w:tcBorders>
              <w:top w:val="single" w:sz="6" w:space="0" w:color="auto"/>
              <w:left w:val="single" w:sz="6" w:space="0" w:color="auto"/>
              <w:bottom w:val="single" w:sz="6" w:space="0" w:color="auto"/>
              <w:right w:val="single" w:sz="6" w:space="0" w:color="auto"/>
            </w:tcBorders>
          </w:tcPr>
          <w:p w14:paraId="5FD4CFD4"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11,583</w:t>
            </w:r>
          </w:p>
        </w:tc>
        <w:tc>
          <w:tcPr>
            <w:tcW w:w="1534" w:type="dxa"/>
            <w:tcBorders>
              <w:top w:val="single" w:sz="6" w:space="0" w:color="auto"/>
              <w:left w:val="single" w:sz="6" w:space="0" w:color="auto"/>
              <w:bottom w:val="single" w:sz="6" w:space="0" w:color="auto"/>
              <w:right w:val="single" w:sz="6" w:space="0" w:color="auto"/>
            </w:tcBorders>
          </w:tcPr>
          <w:p w14:paraId="0235EC3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62.5</w:t>
            </w:r>
          </w:p>
        </w:tc>
        <w:tc>
          <w:tcPr>
            <w:tcW w:w="1534" w:type="dxa"/>
            <w:tcBorders>
              <w:top w:val="single" w:sz="6" w:space="0" w:color="auto"/>
              <w:left w:val="single" w:sz="6" w:space="0" w:color="auto"/>
              <w:bottom w:val="single" w:sz="6" w:space="0" w:color="auto"/>
              <w:right w:val="single" w:sz="6" w:space="0" w:color="auto"/>
            </w:tcBorders>
          </w:tcPr>
          <w:p w14:paraId="69B462B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3,601</w:t>
            </w:r>
          </w:p>
        </w:tc>
        <w:tc>
          <w:tcPr>
            <w:tcW w:w="1534" w:type="dxa"/>
            <w:tcBorders>
              <w:top w:val="single" w:sz="6" w:space="0" w:color="auto"/>
              <w:left w:val="single" w:sz="6" w:space="0" w:color="auto"/>
              <w:bottom w:val="single" w:sz="6" w:space="0" w:color="auto"/>
              <w:right w:val="single" w:sz="6" w:space="0" w:color="auto"/>
            </w:tcBorders>
          </w:tcPr>
          <w:p w14:paraId="483B9A57"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19.4</w:t>
            </w:r>
          </w:p>
        </w:tc>
        <w:tc>
          <w:tcPr>
            <w:tcW w:w="1534" w:type="dxa"/>
            <w:tcBorders>
              <w:top w:val="single" w:sz="6" w:space="0" w:color="auto"/>
              <w:left w:val="single" w:sz="6" w:space="0" w:color="auto"/>
              <w:bottom w:val="single" w:sz="6" w:space="0" w:color="auto"/>
              <w:right w:val="single" w:sz="6" w:space="0" w:color="auto"/>
            </w:tcBorders>
          </w:tcPr>
          <w:p w14:paraId="319CCB41"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3,347</w:t>
            </w:r>
          </w:p>
        </w:tc>
        <w:tc>
          <w:tcPr>
            <w:tcW w:w="1534" w:type="dxa"/>
            <w:tcBorders>
              <w:top w:val="single" w:sz="6" w:space="0" w:color="auto"/>
              <w:left w:val="single" w:sz="6" w:space="0" w:color="auto"/>
              <w:bottom w:val="single" w:sz="6" w:space="0" w:color="auto"/>
              <w:right w:val="single" w:sz="6" w:space="0" w:color="auto"/>
            </w:tcBorders>
          </w:tcPr>
          <w:p w14:paraId="672E59A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18.1</w:t>
            </w:r>
          </w:p>
        </w:tc>
      </w:tr>
    </w:tbl>
    <w:p w14:paraId="339A1FA2" w14:textId="4EC6E55F" w:rsidR="00AD5246" w:rsidRPr="00AC5F37" w:rsidRDefault="00AD5246" w:rsidP="00AD5246">
      <w:pPr>
        <w:pStyle w:val="Caption"/>
        <w:rPr>
          <w:rFonts w:eastAsiaTheme="minorHAnsi" w:cs="Arial"/>
          <w:color w:val="000000"/>
          <w:szCs w:val="21"/>
          <w:lang w:val="en-AU"/>
        </w:rPr>
      </w:pPr>
      <w:r w:rsidRPr="00AC5F37">
        <w:rPr>
          <w:rFonts w:cs="Arial"/>
          <w:szCs w:val="21"/>
        </w:rPr>
        <w:t xml:space="preserve">Table </w:t>
      </w:r>
      <w:r w:rsidRPr="00AC5F37">
        <w:rPr>
          <w:rFonts w:cs="Arial"/>
          <w:szCs w:val="21"/>
        </w:rPr>
        <w:fldChar w:fldCharType="begin"/>
      </w:r>
      <w:r w:rsidRPr="00AC5F37">
        <w:rPr>
          <w:rFonts w:cs="Arial"/>
          <w:szCs w:val="21"/>
        </w:rPr>
        <w:instrText xml:space="preserve"> SEQ Table \* ARABIC </w:instrText>
      </w:r>
      <w:r w:rsidRPr="00AC5F37">
        <w:rPr>
          <w:rFonts w:cs="Arial"/>
          <w:szCs w:val="21"/>
        </w:rPr>
        <w:fldChar w:fldCharType="separate"/>
      </w:r>
      <w:r w:rsidR="001424FD">
        <w:rPr>
          <w:rFonts w:cs="Arial"/>
          <w:noProof/>
          <w:szCs w:val="21"/>
        </w:rPr>
        <w:t>19</w:t>
      </w:r>
      <w:r w:rsidRPr="00AC5F37">
        <w:rPr>
          <w:rFonts w:cs="Arial"/>
          <w:szCs w:val="21"/>
        </w:rPr>
        <w:fldChar w:fldCharType="end"/>
      </w:r>
      <w:r w:rsidRPr="00AC5F37">
        <w:rPr>
          <w:rFonts w:cs="Arial"/>
          <w:szCs w:val="21"/>
        </w:rPr>
        <w:tab/>
      </w:r>
      <w:r w:rsidRPr="00AC5F37">
        <w:rPr>
          <w:rFonts w:eastAsiaTheme="minorHAnsi" w:cs="Arial"/>
          <w:szCs w:val="21"/>
        </w:rPr>
        <w:t>Aboriginal and Torres Strait Islander children critical difference 2009 vs 2018 and 2018 vs 2021,</w:t>
      </w:r>
      <w:r w:rsidRPr="00AC5F37">
        <w:rPr>
          <w:rFonts w:eastAsiaTheme="minorHAnsi" w:cs="Arial"/>
          <w:color w:val="000000"/>
          <w:szCs w:val="21"/>
          <w:lang w:val="en-AU"/>
        </w:rPr>
        <w:t xml:space="preserve"> Physical health and wellbeing domain</w:t>
      </w:r>
    </w:p>
    <w:tbl>
      <w:tblPr>
        <w:tblW w:w="0" w:type="auto"/>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3994"/>
        <w:gridCol w:w="4111"/>
      </w:tblGrid>
      <w:tr w:rsidR="00AD5246" w:rsidRPr="00392E0D" w14:paraId="0700EBED" w14:textId="77777777" w:rsidTr="008872DA">
        <w:trPr>
          <w:trHeight w:val="287"/>
          <w:tblHeader/>
        </w:trPr>
        <w:tc>
          <w:tcPr>
            <w:tcW w:w="1273" w:type="dxa"/>
          </w:tcPr>
          <w:p w14:paraId="0C66D518"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p>
        </w:tc>
        <w:tc>
          <w:tcPr>
            <w:tcW w:w="3994" w:type="dxa"/>
          </w:tcPr>
          <w:p w14:paraId="6009B9B5"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Critical difference 2009 vs 2021</w:t>
            </w:r>
          </w:p>
        </w:tc>
        <w:tc>
          <w:tcPr>
            <w:tcW w:w="4111" w:type="dxa"/>
          </w:tcPr>
          <w:p w14:paraId="7026333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Critical difference 2018 vs 2021</w:t>
            </w:r>
          </w:p>
        </w:tc>
      </w:tr>
      <w:tr w:rsidR="00AD5246" w:rsidRPr="00392E0D" w14:paraId="560997E6" w14:textId="77777777" w:rsidTr="00020189">
        <w:trPr>
          <w:trHeight w:val="434"/>
        </w:trPr>
        <w:tc>
          <w:tcPr>
            <w:tcW w:w="1273" w:type="dxa"/>
          </w:tcPr>
          <w:p w14:paraId="49679EAA" w14:textId="77777777" w:rsidR="00AD5246" w:rsidRPr="00392E0D" w:rsidRDefault="00AD5246" w:rsidP="00020189">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On track </w:t>
            </w:r>
          </w:p>
        </w:tc>
        <w:tc>
          <w:tcPr>
            <w:tcW w:w="3994" w:type="dxa"/>
          </w:tcPr>
          <w:p w14:paraId="273EC91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Significant increase</w:t>
            </w:r>
          </w:p>
        </w:tc>
        <w:tc>
          <w:tcPr>
            <w:tcW w:w="4111" w:type="dxa"/>
          </w:tcPr>
          <w:p w14:paraId="2EB5F97C"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No change</w:t>
            </w:r>
          </w:p>
        </w:tc>
      </w:tr>
      <w:tr w:rsidR="00AD5246" w:rsidRPr="00392E0D" w14:paraId="56D6319F" w14:textId="77777777" w:rsidTr="00020189">
        <w:trPr>
          <w:trHeight w:val="434"/>
        </w:trPr>
        <w:tc>
          <w:tcPr>
            <w:tcW w:w="1273" w:type="dxa"/>
          </w:tcPr>
          <w:p w14:paraId="491544D2" w14:textId="77777777" w:rsidR="00AD5246" w:rsidRPr="00392E0D" w:rsidRDefault="00AD5246" w:rsidP="00020189">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At risk</w:t>
            </w:r>
          </w:p>
        </w:tc>
        <w:tc>
          <w:tcPr>
            <w:tcW w:w="3994" w:type="dxa"/>
          </w:tcPr>
          <w:p w14:paraId="4FFE0634"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Significant decrease</w:t>
            </w:r>
          </w:p>
        </w:tc>
        <w:tc>
          <w:tcPr>
            <w:tcW w:w="4111" w:type="dxa"/>
          </w:tcPr>
          <w:p w14:paraId="5F40D187"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Significant decrease</w:t>
            </w:r>
          </w:p>
        </w:tc>
      </w:tr>
      <w:tr w:rsidR="00AD5246" w:rsidRPr="00392E0D" w14:paraId="222EE833" w14:textId="77777777" w:rsidTr="00020189">
        <w:trPr>
          <w:trHeight w:val="434"/>
        </w:trPr>
        <w:tc>
          <w:tcPr>
            <w:tcW w:w="1273" w:type="dxa"/>
          </w:tcPr>
          <w:p w14:paraId="723A8A09" w14:textId="77777777" w:rsidR="00AD5246" w:rsidRPr="00392E0D" w:rsidRDefault="00AD5246" w:rsidP="00020189">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Vulnerable</w:t>
            </w:r>
          </w:p>
        </w:tc>
        <w:tc>
          <w:tcPr>
            <w:tcW w:w="3994" w:type="dxa"/>
          </w:tcPr>
          <w:p w14:paraId="4ACE5CFA"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No change</w:t>
            </w:r>
          </w:p>
        </w:tc>
        <w:tc>
          <w:tcPr>
            <w:tcW w:w="4111" w:type="dxa"/>
          </w:tcPr>
          <w:p w14:paraId="69D1B743" w14:textId="77777777" w:rsidR="00AD5246" w:rsidRPr="00392E0D" w:rsidRDefault="00AD5246" w:rsidP="0002018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Significant increase</w:t>
            </w:r>
          </w:p>
        </w:tc>
      </w:tr>
    </w:tbl>
    <w:p w14:paraId="1C674451" w14:textId="605BAB8C" w:rsidR="00840C93" w:rsidRPr="00392E0D" w:rsidRDefault="00840C93" w:rsidP="00840C93">
      <w:pPr>
        <w:pStyle w:val="Caption"/>
        <w:rPr>
          <w:rFonts w:cs="Arial"/>
          <w:lang w:val="en-AU" w:eastAsia="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20</w:t>
      </w:r>
      <w:r w:rsidRPr="00392E0D">
        <w:rPr>
          <w:rFonts w:cs="Arial"/>
        </w:rPr>
        <w:fldChar w:fldCharType="end"/>
      </w:r>
      <w:r w:rsidRPr="00392E0D">
        <w:rPr>
          <w:rFonts w:cs="Arial"/>
        </w:rPr>
        <w:tab/>
        <w:t>Aboriginal and Torres Strait Islander children critical difference 2009 vs 2018 and 2018 vs</w:t>
      </w:r>
      <w:r w:rsidRPr="00392E0D">
        <w:rPr>
          <w:rFonts w:cs="Arial"/>
          <w:lang w:val="en-AU" w:eastAsia="en-AU"/>
        </w:rPr>
        <w:t xml:space="preserve"> 2021, Social competence domain</w:t>
      </w:r>
    </w:p>
    <w:tbl>
      <w:tblPr>
        <w:tblStyle w:val="TableGrid"/>
        <w:tblW w:w="9377" w:type="dxa"/>
        <w:tblLook w:val="04A0" w:firstRow="1" w:lastRow="0" w:firstColumn="1" w:lastColumn="0" w:noHBand="0" w:noVBand="1"/>
      </w:tblPr>
      <w:tblGrid>
        <w:gridCol w:w="1173"/>
        <w:gridCol w:w="4102"/>
        <w:gridCol w:w="4102"/>
      </w:tblGrid>
      <w:tr w:rsidR="00840C93" w:rsidRPr="00392E0D" w14:paraId="2E307B9E" w14:textId="77777777" w:rsidTr="008872DA">
        <w:trPr>
          <w:trHeight w:val="57"/>
        </w:trPr>
        <w:tc>
          <w:tcPr>
            <w:cnfStyle w:val="001000000000" w:firstRow="0" w:lastRow="0" w:firstColumn="1" w:lastColumn="0" w:oddVBand="0" w:evenVBand="0" w:oddHBand="0" w:evenHBand="0" w:firstRowFirstColumn="0" w:firstRowLastColumn="0" w:lastRowFirstColumn="0" w:lastRowLastColumn="0"/>
            <w:tcW w:w="1173" w:type="dxa"/>
            <w:noWrap/>
            <w:hideMark/>
          </w:tcPr>
          <w:p w14:paraId="190E75C9"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 </w:t>
            </w:r>
          </w:p>
        </w:tc>
        <w:tc>
          <w:tcPr>
            <w:tcW w:w="4102" w:type="dxa"/>
            <w:noWrap/>
            <w:hideMark/>
          </w:tcPr>
          <w:p w14:paraId="5AC9675A"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Critical difference 2009 vs 2021</w:t>
            </w:r>
          </w:p>
        </w:tc>
        <w:tc>
          <w:tcPr>
            <w:tcW w:w="4102" w:type="dxa"/>
            <w:noWrap/>
            <w:hideMark/>
          </w:tcPr>
          <w:p w14:paraId="7B8EBE89"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Critical difference 2018 vs 2021</w:t>
            </w:r>
          </w:p>
        </w:tc>
      </w:tr>
      <w:tr w:rsidR="00840C93" w:rsidRPr="00392E0D" w14:paraId="2161E8FD" w14:textId="77777777" w:rsidTr="008872DA">
        <w:trPr>
          <w:trHeight w:val="57"/>
        </w:trPr>
        <w:tc>
          <w:tcPr>
            <w:cnfStyle w:val="001000000000" w:firstRow="0" w:lastRow="0" w:firstColumn="1" w:lastColumn="0" w:oddVBand="0" w:evenVBand="0" w:oddHBand="0" w:evenHBand="0" w:firstRowFirstColumn="0" w:firstRowLastColumn="0" w:lastRowFirstColumn="0" w:lastRowLastColumn="0"/>
            <w:tcW w:w="1173" w:type="dxa"/>
            <w:noWrap/>
            <w:hideMark/>
          </w:tcPr>
          <w:p w14:paraId="15031AF7"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 xml:space="preserve">On track </w:t>
            </w:r>
          </w:p>
        </w:tc>
        <w:tc>
          <w:tcPr>
            <w:tcW w:w="4102" w:type="dxa"/>
            <w:hideMark/>
          </w:tcPr>
          <w:p w14:paraId="332E42E8"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increase</w:t>
            </w:r>
          </w:p>
        </w:tc>
        <w:tc>
          <w:tcPr>
            <w:tcW w:w="4102" w:type="dxa"/>
            <w:hideMark/>
          </w:tcPr>
          <w:p w14:paraId="10C99B92"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No change</w:t>
            </w:r>
          </w:p>
        </w:tc>
      </w:tr>
      <w:tr w:rsidR="00840C93" w:rsidRPr="00392E0D" w14:paraId="3A269367" w14:textId="77777777" w:rsidTr="008872DA">
        <w:trPr>
          <w:trHeight w:val="57"/>
        </w:trPr>
        <w:tc>
          <w:tcPr>
            <w:cnfStyle w:val="001000000000" w:firstRow="0" w:lastRow="0" w:firstColumn="1" w:lastColumn="0" w:oddVBand="0" w:evenVBand="0" w:oddHBand="0" w:evenHBand="0" w:firstRowFirstColumn="0" w:firstRowLastColumn="0" w:lastRowFirstColumn="0" w:lastRowLastColumn="0"/>
            <w:tcW w:w="1173" w:type="dxa"/>
            <w:noWrap/>
            <w:hideMark/>
          </w:tcPr>
          <w:p w14:paraId="4433E72F"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At risk</w:t>
            </w:r>
          </w:p>
        </w:tc>
        <w:tc>
          <w:tcPr>
            <w:tcW w:w="4102" w:type="dxa"/>
            <w:hideMark/>
          </w:tcPr>
          <w:p w14:paraId="1638D589"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c>
          <w:tcPr>
            <w:tcW w:w="4102" w:type="dxa"/>
            <w:hideMark/>
          </w:tcPr>
          <w:p w14:paraId="1D64ABFC"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No change</w:t>
            </w:r>
          </w:p>
        </w:tc>
      </w:tr>
      <w:tr w:rsidR="00840C93" w:rsidRPr="00392E0D" w14:paraId="0BF98180" w14:textId="77777777" w:rsidTr="008872DA">
        <w:trPr>
          <w:trHeight w:val="57"/>
        </w:trPr>
        <w:tc>
          <w:tcPr>
            <w:cnfStyle w:val="001000000000" w:firstRow="0" w:lastRow="0" w:firstColumn="1" w:lastColumn="0" w:oddVBand="0" w:evenVBand="0" w:oddHBand="0" w:evenHBand="0" w:firstRowFirstColumn="0" w:firstRowLastColumn="0" w:lastRowFirstColumn="0" w:lastRowLastColumn="0"/>
            <w:tcW w:w="1173" w:type="dxa"/>
            <w:noWrap/>
            <w:hideMark/>
          </w:tcPr>
          <w:p w14:paraId="74F19A60"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Vulnerable</w:t>
            </w:r>
          </w:p>
        </w:tc>
        <w:tc>
          <w:tcPr>
            <w:tcW w:w="4102" w:type="dxa"/>
            <w:hideMark/>
          </w:tcPr>
          <w:p w14:paraId="73BC4B69"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c>
          <w:tcPr>
            <w:tcW w:w="4102" w:type="dxa"/>
            <w:hideMark/>
          </w:tcPr>
          <w:p w14:paraId="19A5E2C6"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r>
    </w:tbl>
    <w:p w14:paraId="5AA9B7D2" w14:textId="77777777" w:rsidR="00020189" w:rsidRPr="00392E0D" w:rsidRDefault="00020189">
      <w:pPr>
        <w:widowControl/>
        <w:autoSpaceDE/>
        <w:autoSpaceDN/>
        <w:rPr>
          <w:rFonts w:ascii="Arial" w:eastAsia="Times New Roman" w:hAnsi="Arial" w:cs="Arial"/>
          <w:color w:val="000000" w:themeColor="text1"/>
          <w:szCs w:val="18"/>
        </w:rPr>
      </w:pPr>
      <w:r w:rsidRPr="00392E0D">
        <w:rPr>
          <w:rFonts w:ascii="Arial" w:hAnsi="Arial" w:cs="Arial"/>
        </w:rPr>
        <w:br w:type="page"/>
      </w:r>
    </w:p>
    <w:p w14:paraId="5B0638BF" w14:textId="76B3FE9C" w:rsidR="00840C93" w:rsidRPr="00392E0D" w:rsidRDefault="00840C93" w:rsidP="00840C93">
      <w:pPr>
        <w:pStyle w:val="Caption"/>
        <w:rPr>
          <w:rFonts w:cs="Arial"/>
          <w:lang w:val="en-AU" w:eastAsia="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21</w:t>
      </w:r>
      <w:r w:rsidRPr="00392E0D">
        <w:rPr>
          <w:rFonts w:cs="Arial"/>
        </w:rPr>
        <w:fldChar w:fldCharType="end"/>
      </w:r>
      <w:r w:rsidRPr="00392E0D">
        <w:rPr>
          <w:rFonts w:cs="Arial"/>
        </w:rPr>
        <w:tab/>
      </w:r>
      <w:r w:rsidRPr="00392E0D">
        <w:rPr>
          <w:rFonts w:cs="Arial"/>
          <w:lang w:val="en-AU" w:eastAsia="en-AU"/>
        </w:rPr>
        <w:t>Aboriginal and Torres Strait Islander children critical difference 2009 vs 2018 and 2018 vs 2021, Emotional maturity domain</w:t>
      </w:r>
    </w:p>
    <w:tbl>
      <w:tblPr>
        <w:tblStyle w:val="TableGrid"/>
        <w:tblW w:w="9377" w:type="dxa"/>
        <w:tblLook w:val="04A0" w:firstRow="1" w:lastRow="0" w:firstColumn="1" w:lastColumn="0" w:noHBand="0" w:noVBand="1"/>
      </w:tblPr>
      <w:tblGrid>
        <w:gridCol w:w="1173"/>
        <w:gridCol w:w="4102"/>
        <w:gridCol w:w="4102"/>
      </w:tblGrid>
      <w:tr w:rsidR="00840C93" w:rsidRPr="00392E0D" w14:paraId="44F371F8" w14:textId="77777777" w:rsidTr="008872DA">
        <w:trPr>
          <w:trHeight w:val="20"/>
        </w:trPr>
        <w:tc>
          <w:tcPr>
            <w:cnfStyle w:val="001000000000" w:firstRow="0" w:lastRow="0" w:firstColumn="1" w:lastColumn="0" w:oddVBand="0" w:evenVBand="0" w:oddHBand="0" w:evenHBand="0" w:firstRowFirstColumn="0" w:firstRowLastColumn="0" w:lastRowFirstColumn="0" w:lastRowLastColumn="0"/>
            <w:tcW w:w="1173" w:type="dxa"/>
            <w:noWrap/>
            <w:hideMark/>
          </w:tcPr>
          <w:p w14:paraId="5F1C0600"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 </w:t>
            </w:r>
          </w:p>
        </w:tc>
        <w:tc>
          <w:tcPr>
            <w:tcW w:w="4102" w:type="dxa"/>
            <w:noWrap/>
            <w:hideMark/>
          </w:tcPr>
          <w:p w14:paraId="511F13FA"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Critical difference 2009 vs 2021</w:t>
            </w:r>
          </w:p>
        </w:tc>
        <w:tc>
          <w:tcPr>
            <w:tcW w:w="4102" w:type="dxa"/>
            <w:noWrap/>
            <w:hideMark/>
          </w:tcPr>
          <w:p w14:paraId="304E3FD4"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Critical difference 2018 vs 2021</w:t>
            </w:r>
          </w:p>
        </w:tc>
      </w:tr>
      <w:tr w:rsidR="00840C93" w:rsidRPr="00392E0D" w14:paraId="180E1544" w14:textId="77777777" w:rsidTr="008872DA">
        <w:trPr>
          <w:trHeight w:val="20"/>
        </w:trPr>
        <w:tc>
          <w:tcPr>
            <w:cnfStyle w:val="001000000000" w:firstRow="0" w:lastRow="0" w:firstColumn="1" w:lastColumn="0" w:oddVBand="0" w:evenVBand="0" w:oddHBand="0" w:evenHBand="0" w:firstRowFirstColumn="0" w:firstRowLastColumn="0" w:lastRowFirstColumn="0" w:lastRowLastColumn="0"/>
            <w:tcW w:w="1173" w:type="dxa"/>
            <w:noWrap/>
            <w:hideMark/>
          </w:tcPr>
          <w:p w14:paraId="4A681BA6"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 xml:space="preserve">On track </w:t>
            </w:r>
          </w:p>
        </w:tc>
        <w:tc>
          <w:tcPr>
            <w:tcW w:w="4102" w:type="dxa"/>
            <w:noWrap/>
            <w:hideMark/>
          </w:tcPr>
          <w:p w14:paraId="16F98001"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increase</w:t>
            </w:r>
          </w:p>
        </w:tc>
        <w:tc>
          <w:tcPr>
            <w:tcW w:w="4102" w:type="dxa"/>
            <w:noWrap/>
            <w:hideMark/>
          </w:tcPr>
          <w:p w14:paraId="7CB071E3"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No change</w:t>
            </w:r>
          </w:p>
        </w:tc>
      </w:tr>
      <w:tr w:rsidR="00840C93" w:rsidRPr="00392E0D" w14:paraId="4146F9F6" w14:textId="77777777" w:rsidTr="008872DA">
        <w:trPr>
          <w:trHeight w:val="20"/>
        </w:trPr>
        <w:tc>
          <w:tcPr>
            <w:cnfStyle w:val="001000000000" w:firstRow="0" w:lastRow="0" w:firstColumn="1" w:lastColumn="0" w:oddVBand="0" w:evenVBand="0" w:oddHBand="0" w:evenHBand="0" w:firstRowFirstColumn="0" w:firstRowLastColumn="0" w:lastRowFirstColumn="0" w:lastRowLastColumn="0"/>
            <w:tcW w:w="1173" w:type="dxa"/>
            <w:noWrap/>
            <w:hideMark/>
          </w:tcPr>
          <w:p w14:paraId="6F5298A8"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At risk</w:t>
            </w:r>
          </w:p>
        </w:tc>
        <w:tc>
          <w:tcPr>
            <w:tcW w:w="4102" w:type="dxa"/>
            <w:hideMark/>
          </w:tcPr>
          <w:p w14:paraId="4EB765C2"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c>
          <w:tcPr>
            <w:tcW w:w="4102" w:type="dxa"/>
            <w:hideMark/>
          </w:tcPr>
          <w:p w14:paraId="6CC79FB6"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No change</w:t>
            </w:r>
          </w:p>
        </w:tc>
      </w:tr>
      <w:tr w:rsidR="00840C93" w:rsidRPr="00392E0D" w14:paraId="3B1F1268" w14:textId="77777777" w:rsidTr="008872DA">
        <w:trPr>
          <w:trHeight w:val="20"/>
        </w:trPr>
        <w:tc>
          <w:tcPr>
            <w:cnfStyle w:val="001000000000" w:firstRow="0" w:lastRow="0" w:firstColumn="1" w:lastColumn="0" w:oddVBand="0" w:evenVBand="0" w:oddHBand="0" w:evenHBand="0" w:firstRowFirstColumn="0" w:firstRowLastColumn="0" w:lastRowFirstColumn="0" w:lastRowLastColumn="0"/>
            <w:tcW w:w="1173" w:type="dxa"/>
            <w:noWrap/>
            <w:hideMark/>
          </w:tcPr>
          <w:p w14:paraId="5AF01B1F"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Vulnerable</w:t>
            </w:r>
          </w:p>
        </w:tc>
        <w:tc>
          <w:tcPr>
            <w:tcW w:w="4102" w:type="dxa"/>
            <w:hideMark/>
          </w:tcPr>
          <w:p w14:paraId="484D5C69"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c>
          <w:tcPr>
            <w:tcW w:w="4102" w:type="dxa"/>
            <w:hideMark/>
          </w:tcPr>
          <w:p w14:paraId="5ADF146A"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increase</w:t>
            </w:r>
          </w:p>
        </w:tc>
      </w:tr>
    </w:tbl>
    <w:p w14:paraId="5A1BA5A0" w14:textId="2CA410B3" w:rsidR="00840C93" w:rsidRPr="00392E0D" w:rsidRDefault="00840C93" w:rsidP="00840C93">
      <w:pPr>
        <w:pStyle w:val="Caption"/>
        <w:rPr>
          <w:rFonts w:cs="Arial"/>
          <w:lang w:val="en-AU" w:eastAsia="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22</w:t>
      </w:r>
      <w:r w:rsidRPr="00392E0D">
        <w:rPr>
          <w:rFonts w:cs="Arial"/>
        </w:rPr>
        <w:fldChar w:fldCharType="end"/>
      </w:r>
      <w:r w:rsidRPr="00392E0D">
        <w:rPr>
          <w:rFonts w:cs="Arial"/>
        </w:rPr>
        <w:tab/>
      </w:r>
      <w:r w:rsidRPr="00392E0D">
        <w:rPr>
          <w:rFonts w:cs="Arial"/>
          <w:lang w:val="en-AU" w:eastAsia="en-AU"/>
        </w:rPr>
        <w:t>Aboriginal and Torres Strait Islander children critical difference 2009 vs 2018 and 2018 vs 2021, Language and cognitive skills (school-based) domain</w:t>
      </w:r>
    </w:p>
    <w:tbl>
      <w:tblPr>
        <w:tblStyle w:val="TableGrid"/>
        <w:tblW w:w="9377" w:type="dxa"/>
        <w:tblLook w:val="04A0" w:firstRow="1" w:lastRow="0" w:firstColumn="1" w:lastColumn="0" w:noHBand="0" w:noVBand="1"/>
      </w:tblPr>
      <w:tblGrid>
        <w:gridCol w:w="1173"/>
        <w:gridCol w:w="4102"/>
        <w:gridCol w:w="4102"/>
      </w:tblGrid>
      <w:tr w:rsidR="00840C93" w:rsidRPr="00392E0D" w14:paraId="3FF274FA" w14:textId="77777777" w:rsidTr="008872DA">
        <w:trPr>
          <w:trHeight w:val="57"/>
          <w:tblHeader/>
        </w:trPr>
        <w:tc>
          <w:tcPr>
            <w:cnfStyle w:val="001000000000" w:firstRow="0" w:lastRow="0" w:firstColumn="1" w:lastColumn="0" w:oddVBand="0" w:evenVBand="0" w:oddHBand="0" w:evenHBand="0" w:firstRowFirstColumn="0" w:firstRowLastColumn="0" w:lastRowFirstColumn="0" w:lastRowLastColumn="0"/>
            <w:tcW w:w="1173" w:type="dxa"/>
            <w:noWrap/>
            <w:hideMark/>
          </w:tcPr>
          <w:p w14:paraId="5F24C660" w14:textId="77777777" w:rsidR="00840C93" w:rsidRPr="00392E0D" w:rsidRDefault="00840C93" w:rsidP="00F604E8">
            <w:pPr>
              <w:widowControl/>
              <w:autoSpaceDE/>
              <w:autoSpaceDN/>
              <w:jc w:val="both"/>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 </w:t>
            </w:r>
          </w:p>
        </w:tc>
        <w:tc>
          <w:tcPr>
            <w:tcW w:w="4102" w:type="dxa"/>
            <w:noWrap/>
            <w:hideMark/>
          </w:tcPr>
          <w:p w14:paraId="20DB410B"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Critical difference 2009 vs 2021</w:t>
            </w:r>
          </w:p>
        </w:tc>
        <w:tc>
          <w:tcPr>
            <w:tcW w:w="4102" w:type="dxa"/>
            <w:noWrap/>
            <w:hideMark/>
          </w:tcPr>
          <w:p w14:paraId="165B199E"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Critical difference 2018 vs 2021</w:t>
            </w:r>
          </w:p>
        </w:tc>
      </w:tr>
      <w:tr w:rsidR="00840C93" w:rsidRPr="00392E0D" w14:paraId="3F299225" w14:textId="77777777" w:rsidTr="00AD5246">
        <w:trPr>
          <w:trHeight w:val="57"/>
        </w:trPr>
        <w:tc>
          <w:tcPr>
            <w:cnfStyle w:val="001000000000" w:firstRow="0" w:lastRow="0" w:firstColumn="1" w:lastColumn="0" w:oddVBand="0" w:evenVBand="0" w:oddHBand="0" w:evenHBand="0" w:firstRowFirstColumn="0" w:firstRowLastColumn="0" w:lastRowFirstColumn="0" w:lastRowLastColumn="0"/>
            <w:tcW w:w="1173" w:type="dxa"/>
            <w:noWrap/>
            <w:hideMark/>
          </w:tcPr>
          <w:p w14:paraId="537E6599" w14:textId="77777777" w:rsidR="00840C93" w:rsidRPr="00392E0D" w:rsidRDefault="00840C93" w:rsidP="00F604E8">
            <w:pPr>
              <w:widowControl/>
              <w:autoSpaceDE/>
              <w:autoSpaceDN/>
              <w:jc w:val="both"/>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 xml:space="preserve">On track </w:t>
            </w:r>
          </w:p>
        </w:tc>
        <w:tc>
          <w:tcPr>
            <w:tcW w:w="4102" w:type="dxa"/>
            <w:noWrap/>
            <w:hideMark/>
          </w:tcPr>
          <w:p w14:paraId="330C8310"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increase</w:t>
            </w:r>
          </w:p>
        </w:tc>
        <w:tc>
          <w:tcPr>
            <w:tcW w:w="4102" w:type="dxa"/>
            <w:noWrap/>
            <w:hideMark/>
          </w:tcPr>
          <w:p w14:paraId="020CC68C"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r>
      <w:tr w:rsidR="00840C93" w:rsidRPr="00392E0D" w14:paraId="6DF21D28" w14:textId="77777777" w:rsidTr="00AD5246">
        <w:trPr>
          <w:trHeight w:val="57"/>
        </w:trPr>
        <w:tc>
          <w:tcPr>
            <w:cnfStyle w:val="001000000000" w:firstRow="0" w:lastRow="0" w:firstColumn="1" w:lastColumn="0" w:oddVBand="0" w:evenVBand="0" w:oddHBand="0" w:evenHBand="0" w:firstRowFirstColumn="0" w:firstRowLastColumn="0" w:lastRowFirstColumn="0" w:lastRowLastColumn="0"/>
            <w:tcW w:w="1173" w:type="dxa"/>
            <w:noWrap/>
            <w:hideMark/>
          </w:tcPr>
          <w:p w14:paraId="38D87281" w14:textId="77777777" w:rsidR="00840C93" w:rsidRPr="00392E0D" w:rsidRDefault="00840C93" w:rsidP="00F604E8">
            <w:pPr>
              <w:widowControl/>
              <w:autoSpaceDE/>
              <w:autoSpaceDN/>
              <w:jc w:val="both"/>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At risk</w:t>
            </w:r>
          </w:p>
        </w:tc>
        <w:tc>
          <w:tcPr>
            <w:tcW w:w="4102" w:type="dxa"/>
            <w:hideMark/>
          </w:tcPr>
          <w:p w14:paraId="62ADA045"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c>
          <w:tcPr>
            <w:tcW w:w="4102" w:type="dxa"/>
            <w:hideMark/>
          </w:tcPr>
          <w:p w14:paraId="39EA5600"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increase</w:t>
            </w:r>
          </w:p>
        </w:tc>
      </w:tr>
      <w:tr w:rsidR="00840C93" w:rsidRPr="00392E0D" w14:paraId="1DD64B43" w14:textId="77777777" w:rsidTr="00AD5246">
        <w:trPr>
          <w:trHeight w:val="57"/>
        </w:trPr>
        <w:tc>
          <w:tcPr>
            <w:cnfStyle w:val="001000000000" w:firstRow="0" w:lastRow="0" w:firstColumn="1" w:lastColumn="0" w:oddVBand="0" w:evenVBand="0" w:oddHBand="0" w:evenHBand="0" w:firstRowFirstColumn="0" w:firstRowLastColumn="0" w:lastRowFirstColumn="0" w:lastRowLastColumn="0"/>
            <w:tcW w:w="1173" w:type="dxa"/>
            <w:noWrap/>
            <w:hideMark/>
          </w:tcPr>
          <w:p w14:paraId="7C557B98" w14:textId="77777777" w:rsidR="00840C93" w:rsidRPr="00392E0D" w:rsidRDefault="00840C93" w:rsidP="00F604E8">
            <w:pPr>
              <w:widowControl/>
              <w:autoSpaceDE/>
              <w:autoSpaceDN/>
              <w:jc w:val="both"/>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Vulnerable</w:t>
            </w:r>
          </w:p>
        </w:tc>
        <w:tc>
          <w:tcPr>
            <w:tcW w:w="4102" w:type="dxa"/>
            <w:hideMark/>
          </w:tcPr>
          <w:p w14:paraId="76735DFE"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c>
          <w:tcPr>
            <w:tcW w:w="4102" w:type="dxa"/>
            <w:hideMark/>
          </w:tcPr>
          <w:p w14:paraId="42E9C924"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increase</w:t>
            </w:r>
          </w:p>
        </w:tc>
      </w:tr>
    </w:tbl>
    <w:p w14:paraId="4AF5F533" w14:textId="4E74D720" w:rsidR="00840C93" w:rsidRPr="00392E0D" w:rsidRDefault="00840C93" w:rsidP="00840C93">
      <w:pPr>
        <w:pStyle w:val="Caption"/>
        <w:rPr>
          <w:rFonts w:cs="Arial"/>
          <w:lang w:val="en-AU" w:eastAsia="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23</w:t>
      </w:r>
      <w:r w:rsidRPr="00392E0D">
        <w:rPr>
          <w:rFonts w:cs="Arial"/>
        </w:rPr>
        <w:fldChar w:fldCharType="end"/>
      </w:r>
      <w:r w:rsidRPr="00392E0D">
        <w:rPr>
          <w:rFonts w:cs="Arial"/>
        </w:rPr>
        <w:tab/>
      </w:r>
      <w:r w:rsidRPr="00392E0D">
        <w:rPr>
          <w:rFonts w:cs="Arial"/>
          <w:lang w:val="en-AU" w:eastAsia="en-AU"/>
        </w:rPr>
        <w:t>Aboriginal and Torres Strait Islander children critical difference 2009 vs 2018 and 2018 vs 2021, Communication skills and general knowledge domain</w:t>
      </w:r>
    </w:p>
    <w:tbl>
      <w:tblPr>
        <w:tblStyle w:val="TableGrid"/>
        <w:tblW w:w="9360" w:type="dxa"/>
        <w:tblLook w:val="04A0" w:firstRow="1" w:lastRow="0" w:firstColumn="1" w:lastColumn="0" w:noHBand="0" w:noVBand="1"/>
      </w:tblPr>
      <w:tblGrid>
        <w:gridCol w:w="1173"/>
        <w:gridCol w:w="4102"/>
        <w:gridCol w:w="4102"/>
      </w:tblGrid>
      <w:tr w:rsidR="00840C93" w:rsidRPr="00392E0D" w14:paraId="4456CA49" w14:textId="77777777" w:rsidTr="008872DA">
        <w:trPr>
          <w:trHeight w:val="70"/>
          <w:tblHeader/>
        </w:trPr>
        <w:tc>
          <w:tcPr>
            <w:cnfStyle w:val="001000000000" w:firstRow="0" w:lastRow="0" w:firstColumn="1" w:lastColumn="0" w:oddVBand="0" w:evenVBand="0" w:oddHBand="0" w:evenHBand="0" w:firstRowFirstColumn="0" w:firstRowLastColumn="0" w:lastRowFirstColumn="0" w:lastRowLastColumn="0"/>
            <w:tcW w:w="1156" w:type="dxa"/>
            <w:noWrap/>
            <w:hideMark/>
          </w:tcPr>
          <w:p w14:paraId="4692178E" w14:textId="77777777" w:rsidR="00840C93" w:rsidRPr="00392E0D" w:rsidRDefault="00840C93" w:rsidP="00AD5246">
            <w:pPr>
              <w:outlineLvl w:val="1"/>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 </w:t>
            </w:r>
          </w:p>
        </w:tc>
        <w:tc>
          <w:tcPr>
            <w:tcW w:w="4102" w:type="dxa"/>
            <w:noWrap/>
            <w:hideMark/>
          </w:tcPr>
          <w:p w14:paraId="6D9E6A24" w14:textId="77777777" w:rsidR="00840C93" w:rsidRPr="00392E0D" w:rsidRDefault="00840C93" w:rsidP="00AD5246">
            <w:pPr>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Critical difference 2009 vs 2021</w:t>
            </w:r>
          </w:p>
        </w:tc>
        <w:tc>
          <w:tcPr>
            <w:tcW w:w="4102" w:type="dxa"/>
            <w:noWrap/>
            <w:hideMark/>
          </w:tcPr>
          <w:p w14:paraId="715AD2D3" w14:textId="77777777" w:rsidR="00840C93" w:rsidRPr="00392E0D" w:rsidRDefault="00840C93" w:rsidP="00AD5246">
            <w:pPr>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Critical difference 2018 vs 2021</w:t>
            </w:r>
          </w:p>
        </w:tc>
      </w:tr>
      <w:tr w:rsidR="00840C93" w:rsidRPr="00392E0D" w14:paraId="66CD9824" w14:textId="77777777" w:rsidTr="00AD5246">
        <w:trPr>
          <w:trHeight w:val="57"/>
        </w:trPr>
        <w:tc>
          <w:tcPr>
            <w:cnfStyle w:val="001000000000" w:firstRow="0" w:lastRow="0" w:firstColumn="1" w:lastColumn="0" w:oddVBand="0" w:evenVBand="0" w:oddHBand="0" w:evenHBand="0" w:firstRowFirstColumn="0" w:firstRowLastColumn="0" w:lastRowFirstColumn="0" w:lastRowLastColumn="0"/>
            <w:tcW w:w="1156" w:type="dxa"/>
            <w:noWrap/>
            <w:hideMark/>
          </w:tcPr>
          <w:p w14:paraId="509B2012"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 xml:space="preserve">On track </w:t>
            </w:r>
          </w:p>
        </w:tc>
        <w:tc>
          <w:tcPr>
            <w:tcW w:w="4102" w:type="dxa"/>
            <w:noWrap/>
            <w:hideMark/>
          </w:tcPr>
          <w:p w14:paraId="6A2A2C4D"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increase</w:t>
            </w:r>
          </w:p>
        </w:tc>
        <w:tc>
          <w:tcPr>
            <w:tcW w:w="4102" w:type="dxa"/>
            <w:noWrap/>
            <w:hideMark/>
          </w:tcPr>
          <w:p w14:paraId="6EF27709"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increase</w:t>
            </w:r>
          </w:p>
        </w:tc>
      </w:tr>
      <w:tr w:rsidR="00840C93" w:rsidRPr="00392E0D" w14:paraId="2D562D4E" w14:textId="77777777" w:rsidTr="00AD5246">
        <w:trPr>
          <w:trHeight w:val="57"/>
        </w:trPr>
        <w:tc>
          <w:tcPr>
            <w:cnfStyle w:val="001000000000" w:firstRow="0" w:lastRow="0" w:firstColumn="1" w:lastColumn="0" w:oddVBand="0" w:evenVBand="0" w:oddHBand="0" w:evenHBand="0" w:firstRowFirstColumn="0" w:firstRowLastColumn="0" w:lastRowFirstColumn="0" w:lastRowLastColumn="0"/>
            <w:tcW w:w="1156" w:type="dxa"/>
            <w:noWrap/>
            <w:hideMark/>
          </w:tcPr>
          <w:p w14:paraId="7852914A"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At risk</w:t>
            </w:r>
          </w:p>
        </w:tc>
        <w:tc>
          <w:tcPr>
            <w:tcW w:w="4102" w:type="dxa"/>
            <w:hideMark/>
          </w:tcPr>
          <w:p w14:paraId="129CB986"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c>
          <w:tcPr>
            <w:tcW w:w="4102" w:type="dxa"/>
            <w:hideMark/>
          </w:tcPr>
          <w:p w14:paraId="2186040D"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No change</w:t>
            </w:r>
          </w:p>
        </w:tc>
      </w:tr>
      <w:tr w:rsidR="00840C93" w:rsidRPr="00392E0D" w14:paraId="0A40BE6F" w14:textId="77777777" w:rsidTr="00AD5246">
        <w:trPr>
          <w:trHeight w:val="57"/>
        </w:trPr>
        <w:tc>
          <w:tcPr>
            <w:cnfStyle w:val="001000000000" w:firstRow="0" w:lastRow="0" w:firstColumn="1" w:lastColumn="0" w:oddVBand="0" w:evenVBand="0" w:oddHBand="0" w:evenHBand="0" w:firstRowFirstColumn="0" w:firstRowLastColumn="0" w:lastRowFirstColumn="0" w:lastRowLastColumn="0"/>
            <w:tcW w:w="1156" w:type="dxa"/>
            <w:noWrap/>
            <w:hideMark/>
          </w:tcPr>
          <w:p w14:paraId="5E14E738" w14:textId="77777777" w:rsidR="00840C93" w:rsidRPr="00392E0D" w:rsidRDefault="00840C93" w:rsidP="00F604E8">
            <w:pPr>
              <w:widowControl/>
              <w:autoSpaceDE/>
              <w:autoSpaceDN/>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Vulnerable</w:t>
            </w:r>
          </w:p>
        </w:tc>
        <w:tc>
          <w:tcPr>
            <w:tcW w:w="4102" w:type="dxa"/>
            <w:hideMark/>
          </w:tcPr>
          <w:p w14:paraId="62F74009"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c>
          <w:tcPr>
            <w:tcW w:w="4102" w:type="dxa"/>
            <w:hideMark/>
          </w:tcPr>
          <w:p w14:paraId="42607A4D" w14:textId="77777777" w:rsidR="00840C93" w:rsidRPr="00392E0D" w:rsidRDefault="00840C93" w:rsidP="00840C93">
            <w:pPr>
              <w:widowControl/>
              <w:autoSpaceDE/>
              <w:autoSpaceDN/>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392E0D">
              <w:rPr>
                <w:rFonts w:ascii="Arial" w:eastAsia="Times New Roman" w:hAnsi="Arial" w:cs="Arial"/>
                <w:color w:val="000000"/>
                <w:sz w:val="20"/>
                <w:szCs w:val="20"/>
                <w:lang w:val="en-AU" w:eastAsia="en-AU"/>
              </w:rPr>
              <w:t>Significant decrease</w:t>
            </w:r>
          </w:p>
        </w:tc>
      </w:tr>
    </w:tbl>
    <w:p w14:paraId="70A00091" w14:textId="313D813F" w:rsidR="002A0592" w:rsidRPr="00392E0D" w:rsidRDefault="002A0592" w:rsidP="00840C93">
      <w:pPr>
        <w:pStyle w:val="Body"/>
        <w:rPr>
          <w:rFonts w:cs="Arial"/>
        </w:rPr>
      </w:pPr>
    </w:p>
    <w:p w14:paraId="1F94251B" w14:textId="77777777" w:rsidR="002A0592" w:rsidRPr="00392E0D" w:rsidRDefault="002A0592">
      <w:pPr>
        <w:widowControl/>
        <w:autoSpaceDE/>
        <w:autoSpaceDN/>
        <w:rPr>
          <w:rFonts w:ascii="Arial" w:eastAsia="Times New Roman" w:hAnsi="Arial" w:cs="Arial"/>
          <w:sz w:val="21"/>
          <w:szCs w:val="20"/>
        </w:rPr>
      </w:pPr>
      <w:r w:rsidRPr="00392E0D">
        <w:rPr>
          <w:rFonts w:ascii="Arial" w:hAnsi="Arial" w:cs="Arial"/>
        </w:rPr>
        <w:br w:type="page"/>
      </w:r>
    </w:p>
    <w:p w14:paraId="419CA39C" w14:textId="639EC3B2" w:rsidR="00840C93" w:rsidRPr="00392E0D" w:rsidRDefault="002A0592" w:rsidP="001E1A5B">
      <w:pPr>
        <w:pStyle w:val="Heading1"/>
        <w:rPr>
          <w:rFonts w:cs="Arial"/>
        </w:rPr>
      </w:pPr>
      <w:bookmarkStart w:id="10" w:name="_Toc99530573"/>
      <w:r w:rsidRPr="00392E0D">
        <w:rPr>
          <w:rFonts w:cs="Arial"/>
        </w:rPr>
        <w:lastRenderedPageBreak/>
        <w:t>Socio-economic status (</w:t>
      </w:r>
      <w:proofErr w:type="spellStart"/>
      <w:r w:rsidRPr="00392E0D">
        <w:rPr>
          <w:rFonts w:cs="Arial"/>
        </w:rPr>
        <w:t>SEIFA</w:t>
      </w:r>
      <w:proofErr w:type="spellEnd"/>
      <w:r w:rsidRPr="00392E0D">
        <w:rPr>
          <w:rFonts w:cs="Arial"/>
        </w:rPr>
        <w:t>)</w:t>
      </w:r>
      <w:bookmarkEnd w:id="10"/>
    </w:p>
    <w:p w14:paraId="684E5BB6" w14:textId="157B0080" w:rsidR="002A0592" w:rsidRPr="00392E0D" w:rsidRDefault="002A0592" w:rsidP="002A0592">
      <w:pPr>
        <w:pStyle w:val="Body"/>
        <w:rPr>
          <w:rFonts w:cs="Arial"/>
        </w:rPr>
      </w:pPr>
      <w:r w:rsidRPr="00392E0D">
        <w:rPr>
          <w:rFonts w:cs="Arial"/>
        </w:rPr>
        <w:t xml:space="preserve">The Socio-Economic Indexes for Areas – or </w:t>
      </w:r>
      <w:proofErr w:type="spellStart"/>
      <w:r w:rsidRPr="00392E0D">
        <w:rPr>
          <w:rFonts w:cs="Arial"/>
        </w:rPr>
        <w:t>SEIFA</w:t>
      </w:r>
      <w:proofErr w:type="spellEnd"/>
      <w:r w:rsidRPr="00392E0D">
        <w:rPr>
          <w:rFonts w:cs="Arial"/>
        </w:rPr>
        <w:t xml:space="preserve"> – was developed by the Australian Bureau of Statistics to rank geographical areas in Australia according to their relative socio-economic advantage and disadvantage. The AEDC uses the Index for Relative Socio-Economic Disadvantage, which ranks the disadvantage of one area against other areas in Australia.</w:t>
      </w:r>
    </w:p>
    <w:p w14:paraId="169C5EEC" w14:textId="5E529EE5" w:rsidR="002A0592" w:rsidRPr="00392E0D" w:rsidRDefault="002A0592" w:rsidP="002A0592">
      <w:pPr>
        <w:pStyle w:val="Body"/>
        <w:rPr>
          <w:rFonts w:cs="Arial"/>
        </w:rPr>
      </w:pPr>
      <w:proofErr w:type="spellStart"/>
      <w:r w:rsidRPr="00392E0D">
        <w:rPr>
          <w:rFonts w:cs="Arial"/>
        </w:rPr>
        <w:t>SEIFA</w:t>
      </w:r>
      <w:proofErr w:type="spellEnd"/>
      <w:r w:rsidRPr="00392E0D">
        <w:rPr>
          <w:rFonts w:cs="Arial"/>
        </w:rPr>
        <w:t xml:space="preserve"> scores are divided into quintiles, where Quintile 1 contains the lowest 20% of scores and reflects the highest levels of socio-economic disadvantage and Quintile 5 contains the highest 20% of scores and reflects the lowest levels of socio-economic disadvantage. Overlapping </w:t>
      </w:r>
      <w:proofErr w:type="spellStart"/>
      <w:r w:rsidRPr="00392E0D">
        <w:rPr>
          <w:rFonts w:cs="Arial"/>
        </w:rPr>
        <w:t>SEIFA</w:t>
      </w:r>
      <w:proofErr w:type="spellEnd"/>
      <w:r w:rsidRPr="00392E0D">
        <w:rPr>
          <w:rFonts w:cs="Arial"/>
        </w:rPr>
        <w:t xml:space="preserve"> with AEDC data provides valuable insight into the relationship between socio-economic disadvantage and children’s developmental vulnerability.</w:t>
      </w:r>
    </w:p>
    <w:p w14:paraId="72680259" w14:textId="77777777" w:rsidR="002A0592" w:rsidRPr="00392E0D" w:rsidRDefault="002A0592" w:rsidP="002A0592">
      <w:pPr>
        <w:pStyle w:val="Heading2"/>
        <w:rPr>
          <w:rFonts w:cs="Arial"/>
        </w:rPr>
      </w:pPr>
      <w:r w:rsidRPr="00392E0D">
        <w:rPr>
          <w:rFonts w:cs="Arial"/>
        </w:rPr>
        <w:t>Summary indicators</w:t>
      </w:r>
    </w:p>
    <w:p w14:paraId="740532B2" w14:textId="4C943CA7" w:rsidR="002A0592" w:rsidRPr="00392E0D" w:rsidRDefault="002A0592" w:rsidP="002A0592">
      <w:pPr>
        <w:pStyle w:val="Body"/>
        <w:rPr>
          <w:rFonts w:cs="Arial"/>
        </w:rPr>
      </w:pPr>
      <w:r w:rsidRPr="00392E0D">
        <w:rPr>
          <w:rFonts w:cs="Arial"/>
        </w:rPr>
        <w:t xml:space="preserve">As shown in Figures </w:t>
      </w:r>
      <w:r w:rsidR="00AC5F37">
        <w:rPr>
          <w:rFonts w:cs="Arial"/>
        </w:rPr>
        <w:t>24</w:t>
      </w:r>
      <w:r w:rsidRPr="00392E0D">
        <w:rPr>
          <w:rFonts w:cs="Arial"/>
        </w:rPr>
        <w:t xml:space="preserve"> and </w:t>
      </w:r>
      <w:r w:rsidR="00AC5F37">
        <w:rPr>
          <w:rFonts w:cs="Arial"/>
        </w:rPr>
        <w:t>25</w:t>
      </w:r>
      <w:r w:rsidRPr="00392E0D">
        <w:rPr>
          <w:rFonts w:cs="Arial"/>
        </w:rPr>
        <w:t xml:space="preserve">, there was increased developmental vulnerability on one or more and two or more domains across all </w:t>
      </w:r>
      <w:proofErr w:type="spellStart"/>
      <w:r w:rsidRPr="00392E0D">
        <w:rPr>
          <w:rFonts w:cs="Arial"/>
        </w:rPr>
        <w:t>SEIFA</w:t>
      </w:r>
      <w:proofErr w:type="spellEnd"/>
      <w:r w:rsidRPr="00392E0D">
        <w:rPr>
          <w:rFonts w:cs="Arial"/>
        </w:rPr>
        <w:t xml:space="preserve"> quintiles in 2021 compared to 2018 data. However, children in the most disadvantaged locations had higher rates of developmental vulnerability, at levels more than twice that of children in the least disadvantaged areas on one or more domains (33.2 per cent and 14.9 per cent respectively) and more than three times that of children in the least disadvantaged areas on two or more domains (19.1 per cent and 6.7 per cent respectively).</w:t>
      </w:r>
    </w:p>
    <w:p w14:paraId="13D6A5BF" w14:textId="77777777" w:rsidR="002A0592" w:rsidRPr="00392E0D" w:rsidRDefault="002A0592" w:rsidP="002A0592">
      <w:pPr>
        <w:pStyle w:val="Body"/>
        <w:rPr>
          <w:rFonts w:cs="Arial"/>
        </w:rPr>
      </w:pPr>
      <w:r w:rsidRPr="00392E0D">
        <w:rPr>
          <w:rFonts w:cs="Arial"/>
        </w:rPr>
        <w:t>In Quintile 1 (most disadvantaged), there was a 1.1 percentage point increase in vulnerability on one or more domains and 0.8 percentage point increase in vulnerability on two or more domains. This is the highest level of vulnerability seen since baseline (2009). For all other quintiles, levels of developmental vulnerability increased, but not to the extent of Quintile 1. These results highlight an increase in inequality and show a reversal of some of the gains made between 2012 and 2018.</w:t>
      </w:r>
    </w:p>
    <w:p w14:paraId="43505477" w14:textId="15AC4148" w:rsidR="002A0592" w:rsidRPr="00392E0D" w:rsidRDefault="002A0592" w:rsidP="002A0592">
      <w:pPr>
        <w:pStyle w:val="Body"/>
        <w:rPr>
          <w:rFonts w:cs="Arial"/>
        </w:rPr>
      </w:pPr>
      <w:r w:rsidRPr="00392E0D">
        <w:rPr>
          <w:rFonts w:cs="Arial"/>
        </w:rPr>
        <w:t xml:space="preserve">The overall percentage of children on track on all five domains decreased across all </w:t>
      </w:r>
      <w:proofErr w:type="spellStart"/>
      <w:r w:rsidRPr="00392E0D">
        <w:rPr>
          <w:rFonts w:cs="Arial"/>
        </w:rPr>
        <w:t>SEIFA</w:t>
      </w:r>
      <w:proofErr w:type="spellEnd"/>
      <w:r w:rsidRPr="00392E0D">
        <w:rPr>
          <w:rFonts w:cs="Arial"/>
        </w:rPr>
        <w:t xml:space="preserve"> quintiles. This was most notable for children in Quintiles 1, 2 and 4, with results regressing to 2015 levels.</w:t>
      </w:r>
    </w:p>
    <w:p w14:paraId="552003E9" w14:textId="77777777" w:rsidR="002A0592" w:rsidRPr="00392E0D" w:rsidRDefault="002A0592" w:rsidP="002A0592">
      <w:pPr>
        <w:pStyle w:val="Heading2"/>
        <w:rPr>
          <w:rFonts w:cs="Arial"/>
        </w:rPr>
      </w:pPr>
      <w:r w:rsidRPr="00392E0D">
        <w:rPr>
          <w:rFonts w:cs="Arial"/>
        </w:rPr>
        <w:t>Results by domain</w:t>
      </w:r>
    </w:p>
    <w:p w14:paraId="4842EEF7" w14:textId="6A725056" w:rsidR="002A0592" w:rsidRPr="00392E0D" w:rsidRDefault="00AC5F37" w:rsidP="002A0592">
      <w:pPr>
        <w:pStyle w:val="Body"/>
        <w:rPr>
          <w:rFonts w:cs="Arial"/>
        </w:rPr>
      </w:pPr>
      <w:r>
        <w:rPr>
          <w:rFonts w:cs="Arial"/>
        </w:rPr>
        <w:t>T</w:t>
      </w:r>
      <w:r w:rsidR="002A0592" w:rsidRPr="00392E0D">
        <w:rPr>
          <w:rFonts w:cs="Arial"/>
        </w:rPr>
        <w:t>here was a widening of the developmental vulnerability gap between children in Quintile 1 (most disadvantaged) and Quintile 5 (least disadvantaged) on each domain except communication and general knowledge.</w:t>
      </w:r>
    </w:p>
    <w:p w14:paraId="1B64F8CF" w14:textId="1FDBFA7D" w:rsidR="002A0592" w:rsidRPr="00392E0D" w:rsidRDefault="002A0592" w:rsidP="002A0592">
      <w:pPr>
        <w:pStyle w:val="Body"/>
        <w:rPr>
          <w:rFonts w:cs="Arial"/>
        </w:rPr>
      </w:pPr>
      <w:r w:rsidRPr="00392E0D">
        <w:rPr>
          <w:rFonts w:cs="Arial"/>
        </w:rPr>
        <w:t>The narrowing of the gap on the communication and general knowledge domain was not due to developmental improvement in the most disadvantaged locations, but rather an increase in developmental vulnerability in the least disadvantaged locations.</w:t>
      </w:r>
    </w:p>
    <w:p w14:paraId="0E942A7B" w14:textId="21A4FD62" w:rsidR="002A0592" w:rsidRPr="00392E0D" w:rsidRDefault="002A0592" w:rsidP="002A0592">
      <w:pPr>
        <w:pStyle w:val="Body"/>
        <w:rPr>
          <w:rFonts w:cs="Arial"/>
        </w:rPr>
      </w:pPr>
      <w:r w:rsidRPr="00392E0D">
        <w:rPr>
          <w:rFonts w:cs="Arial"/>
        </w:rPr>
        <w:t>Across all domains, there were more than double the number of children developmentally vulnerable in Quintile 1 (most disadvantaged) than Quintile 5 (least disadvantaged). The most substantial difference in developmental vulnerability between these groups was in the language and cognitive skills domain, where children living in the most socio-economically disadvantaged areas had rates of developmental vulnerability that were 4.4 times greater than their peers from the least disadvantaged areas.</w:t>
      </w:r>
    </w:p>
    <w:p w14:paraId="5CC67601" w14:textId="51995538" w:rsidR="002A0592" w:rsidRPr="00392E0D" w:rsidRDefault="002A0592" w:rsidP="002A0592">
      <w:pPr>
        <w:pStyle w:val="Body"/>
        <w:rPr>
          <w:rFonts w:cs="Arial"/>
        </w:rPr>
      </w:pPr>
      <w:r w:rsidRPr="00392E0D">
        <w:rPr>
          <w:rFonts w:cs="Arial"/>
        </w:rPr>
        <w:t>Children in Quintile 5 (least disadvantaged) showed a 0.1 percentage point decrease in vulnerability from 2018 data on the social competence domain, but vulnerability levels were still higher than baseline and 2012 data.</w:t>
      </w:r>
    </w:p>
    <w:p w14:paraId="02671D2A" w14:textId="077812D6" w:rsidR="003E49EB" w:rsidRPr="00392E0D" w:rsidRDefault="003E49EB">
      <w:pPr>
        <w:widowControl/>
        <w:autoSpaceDE/>
        <w:autoSpaceDN/>
        <w:rPr>
          <w:rFonts w:ascii="Arial" w:eastAsia="Times New Roman" w:hAnsi="Arial" w:cs="Arial"/>
          <w:sz w:val="21"/>
          <w:szCs w:val="20"/>
        </w:rPr>
      </w:pPr>
      <w:r w:rsidRPr="00392E0D">
        <w:rPr>
          <w:rFonts w:ascii="Arial" w:hAnsi="Arial" w:cs="Arial"/>
        </w:rPr>
        <w:br w:type="page"/>
      </w:r>
    </w:p>
    <w:p w14:paraId="4B95D09C" w14:textId="77777777" w:rsidR="003E49EB" w:rsidRPr="00392E0D" w:rsidRDefault="003E49EB" w:rsidP="003E49EB">
      <w:pPr>
        <w:pStyle w:val="Heading2"/>
        <w:rPr>
          <w:rFonts w:cs="Arial"/>
        </w:rPr>
      </w:pPr>
      <w:r w:rsidRPr="00392E0D">
        <w:rPr>
          <w:rFonts w:cs="Arial"/>
        </w:rPr>
        <w:lastRenderedPageBreak/>
        <w:t xml:space="preserve">Summary indicators by </w:t>
      </w:r>
      <w:proofErr w:type="spellStart"/>
      <w:r w:rsidRPr="00392E0D">
        <w:rPr>
          <w:rFonts w:cs="Arial"/>
        </w:rPr>
        <w:t>SEIFA</w:t>
      </w:r>
      <w:proofErr w:type="spellEnd"/>
      <w:r w:rsidRPr="00392E0D">
        <w:rPr>
          <w:rFonts w:cs="Arial"/>
        </w:rPr>
        <w:t xml:space="preserve"> quintile</w:t>
      </w:r>
    </w:p>
    <w:p w14:paraId="75C893C5" w14:textId="7AEC9E96" w:rsidR="003E49EB" w:rsidRPr="00392E0D" w:rsidRDefault="003E49EB" w:rsidP="003E49EB">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24</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one or more domain(s) by </w:t>
      </w:r>
      <w:proofErr w:type="spellStart"/>
      <w:r w:rsidRPr="00392E0D">
        <w:rPr>
          <w:rFonts w:eastAsiaTheme="minorHAnsi" w:cs="Arial"/>
          <w:lang w:val="en-AU"/>
        </w:rPr>
        <w:t>SEIFA</w:t>
      </w:r>
      <w:proofErr w:type="spellEnd"/>
      <w:r w:rsidRPr="00392E0D">
        <w:rPr>
          <w:rFonts w:eastAsiaTheme="minorHAnsi" w:cs="Arial"/>
          <w:lang w:val="en-AU"/>
        </w:rPr>
        <w:t xml:space="preserve"> quintile</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3E49EB" w:rsidRPr="00392E0D" w14:paraId="7486C2C5" w14:textId="77777777" w:rsidTr="00385292">
        <w:trPr>
          <w:trHeight w:val="287"/>
          <w:tblHeader/>
        </w:trPr>
        <w:tc>
          <w:tcPr>
            <w:tcW w:w="3774" w:type="dxa"/>
            <w:tcBorders>
              <w:top w:val="single" w:sz="6" w:space="0" w:color="auto"/>
              <w:left w:val="single" w:sz="6" w:space="0" w:color="auto"/>
              <w:bottom w:val="single" w:sz="6" w:space="0" w:color="auto"/>
              <w:right w:val="single" w:sz="6" w:space="0" w:color="auto"/>
            </w:tcBorders>
          </w:tcPr>
          <w:p w14:paraId="16FDEF02" w14:textId="77777777" w:rsidR="003E49EB" w:rsidRPr="00392E0D" w:rsidRDefault="003E49EB" w:rsidP="003E49EB">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26C6E796"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37AF2063"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547A46F6"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720132C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33057C8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E49EB" w:rsidRPr="00392E0D" w14:paraId="467FFEB7"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70EAF234"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1 (most disadvantaged)</w:t>
            </w:r>
          </w:p>
        </w:tc>
        <w:tc>
          <w:tcPr>
            <w:tcW w:w="974" w:type="dxa"/>
            <w:tcBorders>
              <w:top w:val="single" w:sz="6" w:space="0" w:color="auto"/>
              <w:left w:val="single" w:sz="6" w:space="0" w:color="auto"/>
              <w:bottom w:val="single" w:sz="6" w:space="0" w:color="auto"/>
              <w:right w:val="single" w:sz="6" w:space="0" w:color="auto"/>
            </w:tcBorders>
          </w:tcPr>
          <w:p w14:paraId="005AB1C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32.1</w:t>
            </w:r>
          </w:p>
        </w:tc>
        <w:tc>
          <w:tcPr>
            <w:tcW w:w="975" w:type="dxa"/>
            <w:tcBorders>
              <w:top w:val="single" w:sz="6" w:space="0" w:color="auto"/>
              <w:left w:val="single" w:sz="6" w:space="0" w:color="auto"/>
              <w:bottom w:val="single" w:sz="6" w:space="0" w:color="auto"/>
              <w:right w:val="single" w:sz="6" w:space="0" w:color="auto"/>
            </w:tcBorders>
          </w:tcPr>
          <w:p w14:paraId="3263B12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32.9</w:t>
            </w:r>
          </w:p>
        </w:tc>
        <w:tc>
          <w:tcPr>
            <w:tcW w:w="974" w:type="dxa"/>
            <w:tcBorders>
              <w:top w:val="single" w:sz="6" w:space="0" w:color="auto"/>
              <w:left w:val="single" w:sz="6" w:space="0" w:color="auto"/>
              <w:bottom w:val="single" w:sz="6" w:space="0" w:color="auto"/>
              <w:right w:val="single" w:sz="6" w:space="0" w:color="auto"/>
            </w:tcBorders>
          </w:tcPr>
          <w:p w14:paraId="3590216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32.6</w:t>
            </w:r>
          </w:p>
        </w:tc>
        <w:tc>
          <w:tcPr>
            <w:tcW w:w="975" w:type="dxa"/>
            <w:tcBorders>
              <w:top w:val="single" w:sz="6" w:space="0" w:color="auto"/>
              <w:left w:val="single" w:sz="6" w:space="0" w:color="auto"/>
              <w:bottom w:val="single" w:sz="6" w:space="0" w:color="auto"/>
              <w:right w:val="single" w:sz="6" w:space="0" w:color="auto"/>
            </w:tcBorders>
          </w:tcPr>
          <w:p w14:paraId="755E346C"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32.1</w:t>
            </w:r>
          </w:p>
        </w:tc>
        <w:tc>
          <w:tcPr>
            <w:tcW w:w="974" w:type="dxa"/>
            <w:tcBorders>
              <w:top w:val="single" w:sz="6" w:space="0" w:color="auto"/>
              <w:left w:val="single" w:sz="6" w:space="0" w:color="auto"/>
              <w:bottom w:val="single" w:sz="6" w:space="0" w:color="auto"/>
              <w:right w:val="single" w:sz="6" w:space="0" w:color="auto"/>
            </w:tcBorders>
          </w:tcPr>
          <w:p w14:paraId="3A0E026E"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33.2</w:t>
            </w:r>
          </w:p>
        </w:tc>
      </w:tr>
      <w:tr w:rsidR="003E49EB" w:rsidRPr="00392E0D" w14:paraId="772223CB"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375B9AA2"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2</w:t>
            </w:r>
          </w:p>
        </w:tc>
        <w:tc>
          <w:tcPr>
            <w:tcW w:w="974" w:type="dxa"/>
            <w:tcBorders>
              <w:top w:val="single" w:sz="6" w:space="0" w:color="auto"/>
              <w:left w:val="single" w:sz="6" w:space="0" w:color="auto"/>
              <w:bottom w:val="single" w:sz="6" w:space="0" w:color="auto"/>
              <w:right w:val="single" w:sz="6" w:space="0" w:color="auto"/>
            </w:tcBorders>
          </w:tcPr>
          <w:p w14:paraId="5047FEC2"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25.6</w:t>
            </w:r>
          </w:p>
        </w:tc>
        <w:tc>
          <w:tcPr>
            <w:tcW w:w="975" w:type="dxa"/>
            <w:tcBorders>
              <w:top w:val="single" w:sz="6" w:space="0" w:color="auto"/>
              <w:left w:val="single" w:sz="6" w:space="0" w:color="auto"/>
              <w:bottom w:val="single" w:sz="6" w:space="0" w:color="auto"/>
              <w:right w:val="single" w:sz="6" w:space="0" w:color="auto"/>
            </w:tcBorders>
          </w:tcPr>
          <w:p w14:paraId="7505445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24.3</w:t>
            </w:r>
          </w:p>
        </w:tc>
        <w:tc>
          <w:tcPr>
            <w:tcW w:w="974" w:type="dxa"/>
            <w:tcBorders>
              <w:top w:val="single" w:sz="6" w:space="0" w:color="auto"/>
              <w:left w:val="single" w:sz="6" w:space="0" w:color="auto"/>
              <w:bottom w:val="single" w:sz="6" w:space="0" w:color="auto"/>
              <w:right w:val="single" w:sz="6" w:space="0" w:color="auto"/>
            </w:tcBorders>
          </w:tcPr>
          <w:p w14:paraId="661CDFEE"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24.5</w:t>
            </w:r>
          </w:p>
        </w:tc>
        <w:tc>
          <w:tcPr>
            <w:tcW w:w="975" w:type="dxa"/>
            <w:tcBorders>
              <w:top w:val="single" w:sz="6" w:space="0" w:color="auto"/>
              <w:left w:val="single" w:sz="6" w:space="0" w:color="auto"/>
              <w:bottom w:val="single" w:sz="6" w:space="0" w:color="auto"/>
              <w:right w:val="single" w:sz="6" w:space="0" w:color="auto"/>
            </w:tcBorders>
          </w:tcPr>
          <w:p w14:paraId="7CC78B31"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23.9</w:t>
            </w:r>
          </w:p>
        </w:tc>
        <w:tc>
          <w:tcPr>
            <w:tcW w:w="974" w:type="dxa"/>
            <w:tcBorders>
              <w:top w:val="single" w:sz="6" w:space="0" w:color="auto"/>
              <w:left w:val="single" w:sz="6" w:space="0" w:color="auto"/>
              <w:bottom w:val="single" w:sz="6" w:space="0" w:color="auto"/>
              <w:right w:val="single" w:sz="6" w:space="0" w:color="auto"/>
            </w:tcBorders>
          </w:tcPr>
          <w:p w14:paraId="0E33DFEC"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24.7</w:t>
            </w:r>
          </w:p>
        </w:tc>
      </w:tr>
      <w:tr w:rsidR="003E49EB" w:rsidRPr="00392E0D" w14:paraId="79225D05"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73C41263"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3</w:t>
            </w:r>
          </w:p>
        </w:tc>
        <w:tc>
          <w:tcPr>
            <w:tcW w:w="974" w:type="dxa"/>
            <w:tcBorders>
              <w:top w:val="single" w:sz="6" w:space="0" w:color="auto"/>
              <w:left w:val="single" w:sz="6" w:space="0" w:color="auto"/>
              <w:bottom w:val="single" w:sz="6" w:space="0" w:color="auto"/>
              <w:right w:val="single" w:sz="6" w:space="0" w:color="auto"/>
            </w:tcBorders>
          </w:tcPr>
          <w:p w14:paraId="440252AE"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22.8</w:t>
            </w:r>
          </w:p>
        </w:tc>
        <w:tc>
          <w:tcPr>
            <w:tcW w:w="975" w:type="dxa"/>
            <w:tcBorders>
              <w:top w:val="single" w:sz="6" w:space="0" w:color="auto"/>
              <w:left w:val="single" w:sz="6" w:space="0" w:color="auto"/>
              <w:bottom w:val="single" w:sz="6" w:space="0" w:color="auto"/>
              <w:right w:val="single" w:sz="6" w:space="0" w:color="auto"/>
            </w:tcBorders>
          </w:tcPr>
          <w:p w14:paraId="282ABAA6"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20.5</w:t>
            </w:r>
          </w:p>
        </w:tc>
        <w:tc>
          <w:tcPr>
            <w:tcW w:w="974" w:type="dxa"/>
            <w:tcBorders>
              <w:top w:val="single" w:sz="6" w:space="0" w:color="auto"/>
              <w:left w:val="single" w:sz="6" w:space="0" w:color="auto"/>
              <w:bottom w:val="single" w:sz="6" w:space="0" w:color="auto"/>
              <w:right w:val="single" w:sz="6" w:space="0" w:color="auto"/>
            </w:tcBorders>
          </w:tcPr>
          <w:p w14:paraId="0A473931"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20.3</w:t>
            </w:r>
          </w:p>
        </w:tc>
        <w:tc>
          <w:tcPr>
            <w:tcW w:w="975" w:type="dxa"/>
            <w:tcBorders>
              <w:top w:val="single" w:sz="6" w:space="0" w:color="auto"/>
              <w:left w:val="single" w:sz="6" w:space="0" w:color="auto"/>
              <w:bottom w:val="single" w:sz="6" w:space="0" w:color="auto"/>
              <w:right w:val="single" w:sz="6" w:space="0" w:color="auto"/>
            </w:tcBorders>
          </w:tcPr>
          <w:p w14:paraId="6969B9D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w:t>
            </w:r>
          </w:p>
        </w:tc>
        <w:tc>
          <w:tcPr>
            <w:tcW w:w="974" w:type="dxa"/>
            <w:tcBorders>
              <w:top w:val="single" w:sz="6" w:space="0" w:color="auto"/>
              <w:left w:val="single" w:sz="6" w:space="0" w:color="auto"/>
              <w:bottom w:val="single" w:sz="6" w:space="0" w:color="auto"/>
              <w:right w:val="single" w:sz="6" w:space="0" w:color="auto"/>
            </w:tcBorders>
          </w:tcPr>
          <w:p w14:paraId="180B009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20.5</w:t>
            </w:r>
          </w:p>
        </w:tc>
      </w:tr>
      <w:tr w:rsidR="003E49EB" w:rsidRPr="00392E0D" w14:paraId="40A0ACB8"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3657838D"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4</w:t>
            </w:r>
          </w:p>
        </w:tc>
        <w:tc>
          <w:tcPr>
            <w:tcW w:w="974" w:type="dxa"/>
            <w:tcBorders>
              <w:top w:val="single" w:sz="6" w:space="0" w:color="auto"/>
              <w:left w:val="single" w:sz="6" w:space="0" w:color="auto"/>
              <w:bottom w:val="single" w:sz="6" w:space="0" w:color="auto"/>
              <w:right w:val="single" w:sz="6" w:space="0" w:color="auto"/>
            </w:tcBorders>
          </w:tcPr>
          <w:p w14:paraId="565E801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19.7</w:t>
            </w:r>
          </w:p>
        </w:tc>
        <w:tc>
          <w:tcPr>
            <w:tcW w:w="975" w:type="dxa"/>
            <w:tcBorders>
              <w:top w:val="single" w:sz="6" w:space="0" w:color="auto"/>
              <w:left w:val="single" w:sz="6" w:space="0" w:color="auto"/>
              <w:bottom w:val="single" w:sz="6" w:space="0" w:color="auto"/>
              <w:right w:val="single" w:sz="6" w:space="0" w:color="auto"/>
            </w:tcBorders>
          </w:tcPr>
          <w:p w14:paraId="0264608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17.7</w:t>
            </w:r>
          </w:p>
        </w:tc>
        <w:tc>
          <w:tcPr>
            <w:tcW w:w="974" w:type="dxa"/>
            <w:tcBorders>
              <w:top w:val="single" w:sz="6" w:space="0" w:color="auto"/>
              <w:left w:val="single" w:sz="6" w:space="0" w:color="auto"/>
              <w:bottom w:val="single" w:sz="6" w:space="0" w:color="auto"/>
              <w:right w:val="single" w:sz="6" w:space="0" w:color="auto"/>
            </w:tcBorders>
          </w:tcPr>
          <w:p w14:paraId="5FD7C5A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w:t>
            </w:r>
          </w:p>
        </w:tc>
        <w:tc>
          <w:tcPr>
            <w:tcW w:w="975" w:type="dxa"/>
            <w:tcBorders>
              <w:top w:val="single" w:sz="6" w:space="0" w:color="auto"/>
              <w:left w:val="single" w:sz="6" w:space="0" w:color="auto"/>
              <w:bottom w:val="single" w:sz="6" w:space="0" w:color="auto"/>
              <w:right w:val="single" w:sz="6" w:space="0" w:color="auto"/>
            </w:tcBorders>
          </w:tcPr>
          <w:p w14:paraId="73C76540"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17.7</w:t>
            </w:r>
          </w:p>
        </w:tc>
        <w:tc>
          <w:tcPr>
            <w:tcW w:w="974" w:type="dxa"/>
            <w:tcBorders>
              <w:top w:val="single" w:sz="6" w:space="0" w:color="auto"/>
              <w:left w:val="single" w:sz="6" w:space="0" w:color="auto"/>
              <w:bottom w:val="single" w:sz="6" w:space="0" w:color="auto"/>
              <w:right w:val="single" w:sz="6" w:space="0" w:color="auto"/>
            </w:tcBorders>
          </w:tcPr>
          <w:p w14:paraId="43842C3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18.2</w:t>
            </w:r>
          </w:p>
        </w:tc>
      </w:tr>
      <w:tr w:rsidR="003E49EB" w:rsidRPr="00392E0D" w14:paraId="79A3FCCF"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6F0EE2E9"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5 (least disadvantaged)</w:t>
            </w:r>
          </w:p>
        </w:tc>
        <w:tc>
          <w:tcPr>
            <w:tcW w:w="974" w:type="dxa"/>
            <w:tcBorders>
              <w:top w:val="single" w:sz="6" w:space="0" w:color="auto"/>
              <w:left w:val="single" w:sz="6" w:space="0" w:color="auto"/>
              <w:bottom w:val="single" w:sz="6" w:space="0" w:color="auto"/>
              <w:right w:val="single" w:sz="6" w:space="0" w:color="auto"/>
            </w:tcBorders>
          </w:tcPr>
          <w:p w14:paraId="2923FD3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16.3</w:t>
            </w:r>
          </w:p>
        </w:tc>
        <w:tc>
          <w:tcPr>
            <w:tcW w:w="975" w:type="dxa"/>
            <w:tcBorders>
              <w:top w:val="single" w:sz="6" w:space="0" w:color="auto"/>
              <w:left w:val="single" w:sz="6" w:space="0" w:color="auto"/>
              <w:bottom w:val="single" w:sz="6" w:space="0" w:color="auto"/>
              <w:right w:val="single" w:sz="6" w:space="0" w:color="auto"/>
            </w:tcBorders>
          </w:tcPr>
          <w:p w14:paraId="64B597C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13.8</w:t>
            </w:r>
          </w:p>
        </w:tc>
        <w:tc>
          <w:tcPr>
            <w:tcW w:w="974" w:type="dxa"/>
            <w:tcBorders>
              <w:top w:val="single" w:sz="6" w:space="0" w:color="auto"/>
              <w:left w:val="single" w:sz="6" w:space="0" w:color="auto"/>
              <w:bottom w:val="single" w:sz="6" w:space="0" w:color="auto"/>
              <w:right w:val="single" w:sz="6" w:space="0" w:color="auto"/>
            </w:tcBorders>
          </w:tcPr>
          <w:p w14:paraId="258C3F4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w:t>
            </w:r>
          </w:p>
        </w:tc>
        <w:tc>
          <w:tcPr>
            <w:tcW w:w="975" w:type="dxa"/>
            <w:tcBorders>
              <w:top w:val="single" w:sz="6" w:space="0" w:color="auto"/>
              <w:left w:val="single" w:sz="6" w:space="0" w:color="auto"/>
              <w:bottom w:val="single" w:sz="6" w:space="0" w:color="auto"/>
              <w:right w:val="single" w:sz="6" w:space="0" w:color="auto"/>
            </w:tcBorders>
          </w:tcPr>
          <w:p w14:paraId="1064510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14.7</w:t>
            </w:r>
          </w:p>
        </w:tc>
        <w:tc>
          <w:tcPr>
            <w:tcW w:w="974" w:type="dxa"/>
            <w:tcBorders>
              <w:top w:val="single" w:sz="6" w:space="0" w:color="auto"/>
              <w:left w:val="single" w:sz="6" w:space="0" w:color="auto"/>
              <w:bottom w:val="single" w:sz="6" w:space="0" w:color="auto"/>
              <w:right w:val="single" w:sz="6" w:space="0" w:color="auto"/>
            </w:tcBorders>
          </w:tcPr>
          <w:p w14:paraId="7386136C"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w:t>
            </w:r>
          </w:p>
        </w:tc>
      </w:tr>
    </w:tbl>
    <w:p w14:paraId="31577979" w14:textId="70B3346E" w:rsidR="003E49EB" w:rsidRPr="00392E0D" w:rsidRDefault="003E49EB" w:rsidP="003E49EB">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25</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two or more domains by </w:t>
      </w:r>
      <w:proofErr w:type="spellStart"/>
      <w:r w:rsidRPr="00392E0D">
        <w:rPr>
          <w:rFonts w:eastAsiaTheme="minorHAnsi" w:cs="Arial"/>
          <w:lang w:val="en-AU"/>
        </w:rPr>
        <w:t>SEIFA</w:t>
      </w:r>
      <w:proofErr w:type="spellEnd"/>
      <w:r w:rsidRPr="00392E0D">
        <w:rPr>
          <w:rFonts w:eastAsiaTheme="minorHAnsi" w:cs="Arial"/>
          <w:lang w:val="en-AU"/>
        </w:rPr>
        <w:t xml:space="preserve"> quintile</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3E49EB" w:rsidRPr="00392E0D" w14:paraId="777B2A49" w14:textId="77777777" w:rsidTr="00385292">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F2E468C" w14:textId="77777777" w:rsidR="003E49EB" w:rsidRPr="00392E0D" w:rsidRDefault="003E49EB" w:rsidP="003E49EB">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5D556E1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316CF3F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3BD850DA"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74A29A4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1D0582E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E49EB" w:rsidRPr="00392E0D" w14:paraId="3807E12A"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4B121AF8"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1 (most disadvantaged)</w:t>
            </w:r>
          </w:p>
        </w:tc>
        <w:tc>
          <w:tcPr>
            <w:tcW w:w="974" w:type="dxa"/>
            <w:tcBorders>
              <w:top w:val="single" w:sz="6" w:space="0" w:color="auto"/>
              <w:left w:val="single" w:sz="6" w:space="0" w:color="auto"/>
              <w:bottom w:val="single" w:sz="6" w:space="0" w:color="auto"/>
              <w:right w:val="single" w:sz="6" w:space="0" w:color="auto"/>
            </w:tcBorders>
          </w:tcPr>
          <w:p w14:paraId="10A17E0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17.7</w:t>
            </w:r>
          </w:p>
        </w:tc>
        <w:tc>
          <w:tcPr>
            <w:tcW w:w="975" w:type="dxa"/>
            <w:tcBorders>
              <w:top w:val="single" w:sz="6" w:space="0" w:color="auto"/>
              <w:left w:val="single" w:sz="6" w:space="0" w:color="auto"/>
              <w:bottom w:val="single" w:sz="6" w:space="0" w:color="auto"/>
              <w:right w:val="single" w:sz="6" w:space="0" w:color="auto"/>
            </w:tcBorders>
          </w:tcPr>
          <w:p w14:paraId="1E6C958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18.0</w:t>
            </w:r>
          </w:p>
        </w:tc>
        <w:tc>
          <w:tcPr>
            <w:tcW w:w="974" w:type="dxa"/>
            <w:tcBorders>
              <w:top w:val="single" w:sz="6" w:space="0" w:color="auto"/>
              <w:left w:val="single" w:sz="6" w:space="0" w:color="auto"/>
              <w:bottom w:val="single" w:sz="6" w:space="0" w:color="auto"/>
              <w:right w:val="single" w:sz="6" w:space="0" w:color="auto"/>
            </w:tcBorders>
          </w:tcPr>
          <w:p w14:paraId="46B144B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w:t>
            </w:r>
          </w:p>
        </w:tc>
        <w:tc>
          <w:tcPr>
            <w:tcW w:w="975" w:type="dxa"/>
            <w:tcBorders>
              <w:top w:val="single" w:sz="6" w:space="0" w:color="auto"/>
              <w:left w:val="single" w:sz="6" w:space="0" w:color="auto"/>
              <w:bottom w:val="single" w:sz="6" w:space="0" w:color="auto"/>
              <w:right w:val="single" w:sz="6" w:space="0" w:color="auto"/>
            </w:tcBorders>
          </w:tcPr>
          <w:p w14:paraId="19A6172B"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18.3</w:t>
            </w:r>
          </w:p>
        </w:tc>
        <w:tc>
          <w:tcPr>
            <w:tcW w:w="974" w:type="dxa"/>
            <w:tcBorders>
              <w:top w:val="single" w:sz="6" w:space="0" w:color="auto"/>
              <w:left w:val="single" w:sz="6" w:space="0" w:color="auto"/>
              <w:bottom w:val="single" w:sz="6" w:space="0" w:color="auto"/>
              <w:right w:val="single" w:sz="6" w:space="0" w:color="auto"/>
            </w:tcBorders>
          </w:tcPr>
          <w:p w14:paraId="13D39BAC"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w:t>
            </w:r>
          </w:p>
        </w:tc>
      </w:tr>
      <w:tr w:rsidR="003E49EB" w:rsidRPr="00392E0D" w14:paraId="72AB11F3"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2155CD45"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2</w:t>
            </w:r>
          </w:p>
        </w:tc>
        <w:tc>
          <w:tcPr>
            <w:tcW w:w="974" w:type="dxa"/>
            <w:tcBorders>
              <w:top w:val="single" w:sz="6" w:space="0" w:color="auto"/>
              <w:left w:val="single" w:sz="6" w:space="0" w:color="auto"/>
              <w:bottom w:val="single" w:sz="6" w:space="0" w:color="auto"/>
              <w:right w:val="single" w:sz="6" w:space="0" w:color="auto"/>
            </w:tcBorders>
          </w:tcPr>
          <w:p w14:paraId="73B08EB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w:t>
            </w:r>
          </w:p>
        </w:tc>
        <w:tc>
          <w:tcPr>
            <w:tcW w:w="975" w:type="dxa"/>
            <w:tcBorders>
              <w:top w:val="single" w:sz="6" w:space="0" w:color="auto"/>
              <w:left w:val="single" w:sz="6" w:space="0" w:color="auto"/>
              <w:bottom w:val="single" w:sz="6" w:space="0" w:color="auto"/>
              <w:right w:val="single" w:sz="6" w:space="0" w:color="auto"/>
            </w:tcBorders>
          </w:tcPr>
          <w:p w14:paraId="575F89E6"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12.1</w:t>
            </w:r>
          </w:p>
        </w:tc>
        <w:tc>
          <w:tcPr>
            <w:tcW w:w="974" w:type="dxa"/>
            <w:tcBorders>
              <w:top w:val="single" w:sz="6" w:space="0" w:color="auto"/>
              <w:left w:val="single" w:sz="6" w:space="0" w:color="auto"/>
              <w:bottom w:val="single" w:sz="6" w:space="0" w:color="auto"/>
              <w:right w:val="single" w:sz="6" w:space="0" w:color="auto"/>
            </w:tcBorders>
          </w:tcPr>
          <w:p w14:paraId="073A15CC"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12.5</w:t>
            </w:r>
          </w:p>
        </w:tc>
        <w:tc>
          <w:tcPr>
            <w:tcW w:w="975" w:type="dxa"/>
            <w:tcBorders>
              <w:top w:val="single" w:sz="6" w:space="0" w:color="auto"/>
              <w:left w:val="single" w:sz="6" w:space="0" w:color="auto"/>
              <w:bottom w:val="single" w:sz="6" w:space="0" w:color="auto"/>
              <w:right w:val="single" w:sz="6" w:space="0" w:color="auto"/>
            </w:tcBorders>
          </w:tcPr>
          <w:p w14:paraId="5A62F366"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12.5</w:t>
            </w:r>
          </w:p>
        </w:tc>
        <w:tc>
          <w:tcPr>
            <w:tcW w:w="974" w:type="dxa"/>
            <w:tcBorders>
              <w:top w:val="single" w:sz="6" w:space="0" w:color="auto"/>
              <w:left w:val="single" w:sz="6" w:space="0" w:color="auto"/>
              <w:bottom w:val="single" w:sz="6" w:space="0" w:color="auto"/>
              <w:right w:val="single" w:sz="6" w:space="0" w:color="auto"/>
            </w:tcBorders>
          </w:tcPr>
          <w:p w14:paraId="2120640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w:t>
            </w:r>
          </w:p>
        </w:tc>
      </w:tr>
      <w:tr w:rsidR="003E49EB" w:rsidRPr="00392E0D" w14:paraId="047BD420"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27DC7F34"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3</w:t>
            </w:r>
          </w:p>
        </w:tc>
        <w:tc>
          <w:tcPr>
            <w:tcW w:w="974" w:type="dxa"/>
            <w:tcBorders>
              <w:top w:val="single" w:sz="6" w:space="0" w:color="auto"/>
              <w:left w:val="single" w:sz="6" w:space="0" w:color="auto"/>
              <w:bottom w:val="single" w:sz="6" w:space="0" w:color="auto"/>
              <w:right w:val="single" w:sz="6" w:space="0" w:color="auto"/>
            </w:tcBorders>
          </w:tcPr>
          <w:p w14:paraId="5108C55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11.1</w:t>
            </w:r>
          </w:p>
        </w:tc>
        <w:tc>
          <w:tcPr>
            <w:tcW w:w="975" w:type="dxa"/>
            <w:tcBorders>
              <w:top w:val="single" w:sz="6" w:space="0" w:color="auto"/>
              <w:left w:val="single" w:sz="6" w:space="0" w:color="auto"/>
              <w:bottom w:val="single" w:sz="6" w:space="0" w:color="auto"/>
              <w:right w:val="single" w:sz="6" w:space="0" w:color="auto"/>
            </w:tcBorders>
          </w:tcPr>
          <w:p w14:paraId="588726BE"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w:t>
            </w:r>
          </w:p>
        </w:tc>
        <w:tc>
          <w:tcPr>
            <w:tcW w:w="974" w:type="dxa"/>
            <w:tcBorders>
              <w:top w:val="single" w:sz="6" w:space="0" w:color="auto"/>
              <w:left w:val="single" w:sz="6" w:space="0" w:color="auto"/>
              <w:bottom w:val="single" w:sz="6" w:space="0" w:color="auto"/>
              <w:right w:val="single" w:sz="6" w:space="0" w:color="auto"/>
            </w:tcBorders>
          </w:tcPr>
          <w:p w14:paraId="53E63132"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w:t>
            </w:r>
          </w:p>
        </w:tc>
        <w:tc>
          <w:tcPr>
            <w:tcW w:w="975" w:type="dxa"/>
            <w:tcBorders>
              <w:top w:val="single" w:sz="6" w:space="0" w:color="auto"/>
              <w:left w:val="single" w:sz="6" w:space="0" w:color="auto"/>
              <w:bottom w:val="single" w:sz="6" w:space="0" w:color="auto"/>
              <w:right w:val="single" w:sz="6" w:space="0" w:color="auto"/>
            </w:tcBorders>
          </w:tcPr>
          <w:p w14:paraId="40FA33C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974" w:type="dxa"/>
            <w:tcBorders>
              <w:top w:val="single" w:sz="6" w:space="0" w:color="auto"/>
              <w:left w:val="single" w:sz="6" w:space="0" w:color="auto"/>
              <w:bottom w:val="single" w:sz="6" w:space="0" w:color="auto"/>
              <w:right w:val="single" w:sz="6" w:space="0" w:color="auto"/>
            </w:tcBorders>
          </w:tcPr>
          <w:p w14:paraId="59A0AF8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10.3</w:t>
            </w:r>
          </w:p>
        </w:tc>
      </w:tr>
      <w:tr w:rsidR="003E49EB" w:rsidRPr="00392E0D" w14:paraId="172D37B2"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1D857491"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4</w:t>
            </w:r>
          </w:p>
        </w:tc>
        <w:tc>
          <w:tcPr>
            <w:tcW w:w="974" w:type="dxa"/>
            <w:tcBorders>
              <w:top w:val="single" w:sz="6" w:space="0" w:color="auto"/>
              <w:left w:val="single" w:sz="6" w:space="0" w:color="auto"/>
              <w:bottom w:val="single" w:sz="6" w:space="0" w:color="auto"/>
              <w:right w:val="single" w:sz="6" w:space="0" w:color="auto"/>
            </w:tcBorders>
          </w:tcPr>
          <w:p w14:paraId="23D5A73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w:t>
            </w:r>
          </w:p>
        </w:tc>
        <w:tc>
          <w:tcPr>
            <w:tcW w:w="975" w:type="dxa"/>
            <w:tcBorders>
              <w:top w:val="single" w:sz="6" w:space="0" w:color="auto"/>
              <w:left w:val="single" w:sz="6" w:space="0" w:color="auto"/>
              <w:bottom w:val="single" w:sz="6" w:space="0" w:color="auto"/>
              <w:right w:val="single" w:sz="6" w:space="0" w:color="auto"/>
            </w:tcBorders>
          </w:tcPr>
          <w:p w14:paraId="567C6F80"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w:t>
            </w:r>
          </w:p>
        </w:tc>
        <w:tc>
          <w:tcPr>
            <w:tcW w:w="974" w:type="dxa"/>
            <w:tcBorders>
              <w:top w:val="single" w:sz="6" w:space="0" w:color="auto"/>
              <w:left w:val="single" w:sz="6" w:space="0" w:color="auto"/>
              <w:bottom w:val="single" w:sz="6" w:space="0" w:color="auto"/>
              <w:right w:val="single" w:sz="6" w:space="0" w:color="auto"/>
            </w:tcBorders>
          </w:tcPr>
          <w:p w14:paraId="7ECE53C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w:t>
            </w:r>
          </w:p>
        </w:tc>
        <w:tc>
          <w:tcPr>
            <w:tcW w:w="975" w:type="dxa"/>
            <w:tcBorders>
              <w:top w:val="single" w:sz="6" w:space="0" w:color="auto"/>
              <w:left w:val="single" w:sz="6" w:space="0" w:color="auto"/>
              <w:bottom w:val="single" w:sz="6" w:space="0" w:color="auto"/>
              <w:right w:val="single" w:sz="6" w:space="0" w:color="auto"/>
            </w:tcBorders>
          </w:tcPr>
          <w:p w14:paraId="4C70975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w:t>
            </w:r>
          </w:p>
        </w:tc>
        <w:tc>
          <w:tcPr>
            <w:tcW w:w="974" w:type="dxa"/>
            <w:tcBorders>
              <w:top w:val="single" w:sz="6" w:space="0" w:color="auto"/>
              <w:left w:val="single" w:sz="6" w:space="0" w:color="auto"/>
              <w:bottom w:val="single" w:sz="6" w:space="0" w:color="auto"/>
              <w:right w:val="single" w:sz="6" w:space="0" w:color="auto"/>
            </w:tcBorders>
          </w:tcPr>
          <w:p w14:paraId="166AB84E"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8.6</w:t>
            </w:r>
          </w:p>
        </w:tc>
      </w:tr>
      <w:tr w:rsidR="003E49EB" w:rsidRPr="00392E0D" w14:paraId="3F4FD8CB"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3CBE5359"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5 (least disadvantaged)</w:t>
            </w:r>
          </w:p>
        </w:tc>
        <w:tc>
          <w:tcPr>
            <w:tcW w:w="974" w:type="dxa"/>
            <w:tcBorders>
              <w:top w:val="single" w:sz="6" w:space="0" w:color="auto"/>
              <w:left w:val="single" w:sz="6" w:space="0" w:color="auto"/>
              <w:bottom w:val="single" w:sz="6" w:space="0" w:color="auto"/>
              <w:right w:val="single" w:sz="6" w:space="0" w:color="auto"/>
            </w:tcBorders>
          </w:tcPr>
          <w:p w14:paraId="6C905333"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w:t>
            </w:r>
          </w:p>
        </w:tc>
        <w:tc>
          <w:tcPr>
            <w:tcW w:w="975" w:type="dxa"/>
            <w:tcBorders>
              <w:top w:val="single" w:sz="6" w:space="0" w:color="auto"/>
              <w:left w:val="single" w:sz="6" w:space="0" w:color="auto"/>
              <w:bottom w:val="single" w:sz="6" w:space="0" w:color="auto"/>
              <w:right w:val="single" w:sz="6" w:space="0" w:color="auto"/>
            </w:tcBorders>
          </w:tcPr>
          <w:p w14:paraId="77D4AB82"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w:t>
            </w:r>
          </w:p>
        </w:tc>
        <w:tc>
          <w:tcPr>
            <w:tcW w:w="974" w:type="dxa"/>
            <w:tcBorders>
              <w:top w:val="single" w:sz="6" w:space="0" w:color="auto"/>
              <w:left w:val="single" w:sz="6" w:space="0" w:color="auto"/>
              <w:bottom w:val="single" w:sz="6" w:space="0" w:color="auto"/>
              <w:right w:val="single" w:sz="6" w:space="0" w:color="auto"/>
            </w:tcBorders>
          </w:tcPr>
          <w:p w14:paraId="34C48E4B"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w:t>
            </w:r>
          </w:p>
        </w:tc>
        <w:tc>
          <w:tcPr>
            <w:tcW w:w="975" w:type="dxa"/>
            <w:tcBorders>
              <w:top w:val="single" w:sz="6" w:space="0" w:color="auto"/>
              <w:left w:val="single" w:sz="6" w:space="0" w:color="auto"/>
              <w:bottom w:val="single" w:sz="6" w:space="0" w:color="auto"/>
              <w:right w:val="single" w:sz="6" w:space="0" w:color="auto"/>
            </w:tcBorders>
          </w:tcPr>
          <w:p w14:paraId="739394A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w:t>
            </w:r>
          </w:p>
        </w:tc>
        <w:tc>
          <w:tcPr>
            <w:tcW w:w="974" w:type="dxa"/>
            <w:tcBorders>
              <w:top w:val="single" w:sz="6" w:space="0" w:color="auto"/>
              <w:left w:val="single" w:sz="6" w:space="0" w:color="auto"/>
              <w:bottom w:val="single" w:sz="6" w:space="0" w:color="auto"/>
              <w:right w:val="single" w:sz="6" w:space="0" w:color="auto"/>
            </w:tcBorders>
          </w:tcPr>
          <w:p w14:paraId="7FBAE0D2"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w:t>
            </w:r>
          </w:p>
        </w:tc>
      </w:tr>
    </w:tbl>
    <w:p w14:paraId="19F2765C" w14:textId="00C4CDF0" w:rsidR="003E49EB" w:rsidRPr="00392E0D" w:rsidRDefault="003E49EB" w:rsidP="00385292">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26</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on track on five domains by </w:t>
      </w:r>
      <w:proofErr w:type="spellStart"/>
      <w:r w:rsidRPr="00392E0D">
        <w:rPr>
          <w:rFonts w:eastAsiaTheme="minorHAnsi" w:cs="Arial"/>
          <w:lang w:val="en-AU"/>
        </w:rPr>
        <w:t>SEIFA</w:t>
      </w:r>
      <w:proofErr w:type="spellEnd"/>
      <w:r w:rsidRPr="00392E0D">
        <w:rPr>
          <w:rFonts w:eastAsiaTheme="minorHAnsi" w:cs="Arial"/>
          <w:lang w:val="en-AU"/>
        </w:rPr>
        <w:t xml:space="preserve"> quintile</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3E49EB" w:rsidRPr="00392E0D" w14:paraId="063D7D41" w14:textId="77777777" w:rsidTr="00385292">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97BDC04" w14:textId="77777777" w:rsidR="003E49EB" w:rsidRPr="00392E0D" w:rsidRDefault="003E49EB" w:rsidP="003E49EB">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4FB4837B"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5B24F37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339C86F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16F20201"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5D439F2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E49EB" w:rsidRPr="00392E0D" w14:paraId="4B005D43"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7FFAD12B"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1 (most disadvantaged)</w:t>
            </w:r>
          </w:p>
        </w:tc>
        <w:tc>
          <w:tcPr>
            <w:tcW w:w="974" w:type="dxa"/>
            <w:tcBorders>
              <w:top w:val="single" w:sz="6" w:space="0" w:color="auto"/>
              <w:left w:val="single" w:sz="6" w:space="0" w:color="auto"/>
              <w:bottom w:val="single" w:sz="6" w:space="0" w:color="auto"/>
              <w:right w:val="single" w:sz="6" w:space="0" w:color="auto"/>
            </w:tcBorders>
          </w:tcPr>
          <w:p w14:paraId="5437656B"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41.6</w:t>
            </w:r>
          </w:p>
        </w:tc>
        <w:tc>
          <w:tcPr>
            <w:tcW w:w="975" w:type="dxa"/>
            <w:tcBorders>
              <w:top w:val="single" w:sz="6" w:space="0" w:color="auto"/>
              <w:left w:val="single" w:sz="6" w:space="0" w:color="auto"/>
              <w:bottom w:val="single" w:sz="6" w:space="0" w:color="auto"/>
              <w:right w:val="single" w:sz="6" w:space="0" w:color="auto"/>
            </w:tcBorders>
          </w:tcPr>
          <w:p w14:paraId="6C3A8B0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41.5</w:t>
            </w:r>
          </w:p>
        </w:tc>
        <w:tc>
          <w:tcPr>
            <w:tcW w:w="974" w:type="dxa"/>
            <w:tcBorders>
              <w:top w:val="single" w:sz="6" w:space="0" w:color="auto"/>
              <w:left w:val="single" w:sz="6" w:space="0" w:color="auto"/>
              <w:bottom w:val="single" w:sz="6" w:space="0" w:color="auto"/>
              <w:right w:val="single" w:sz="6" w:space="0" w:color="auto"/>
            </w:tcBorders>
          </w:tcPr>
          <w:p w14:paraId="1CF40DCB"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42.8</w:t>
            </w:r>
          </w:p>
        </w:tc>
        <w:tc>
          <w:tcPr>
            <w:tcW w:w="975" w:type="dxa"/>
            <w:tcBorders>
              <w:top w:val="single" w:sz="6" w:space="0" w:color="auto"/>
              <w:left w:val="single" w:sz="6" w:space="0" w:color="auto"/>
              <w:bottom w:val="single" w:sz="6" w:space="0" w:color="auto"/>
              <w:right w:val="single" w:sz="6" w:space="0" w:color="auto"/>
            </w:tcBorders>
          </w:tcPr>
          <w:p w14:paraId="59C1E99B"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43.6</w:t>
            </w:r>
          </w:p>
        </w:tc>
        <w:tc>
          <w:tcPr>
            <w:tcW w:w="974" w:type="dxa"/>
            <w:tcBorders>
              <w:top w:val="single" w:sz="6" w:space="0" w:color="auto"/>
              <w:left w:val="single" w:sz="6" w:space="0" w:color="auto"/>
              <w:bottom w:val="single" w:sz="6" w:space="0" w:color="auto"/>
              <w:right w:val="single" w:sz="6" w:space="0" w:color="auto"/>
            </w:tcBorders>
          </w:tcPr>
          <w:p w14:paraId="7F2BB65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42.7</w:t>
            </w:r>
          </w:p>
        </w:tc>
      </w:tr>
      <w:tr w:rsidR="003E49EB" w:rsidRPr="00392E0D" w14:paraId="3A9FCEF5"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6806ABD4"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2</w:t>
            </w:r>
          </w:p>
        </w:tc>
        <w:tc>
          <w:tcPr>
            <w:tcW w:w="974" w:type="dxa"/>
            <w:tcBorders>
              <w:top w:val="single" w:sz="6" w:space="0" w:color="auto"/>
              <w:left w:val="single" w:sz="6" w:space="0" w:color="auto"/>
              <w:bottom w:val="single" w:sz="6" w:space="0" w:color="auto"/>
              <w:right w:val="single" w:sz="6" w:space="0" w:color="auto"/>
            </w:tcBorders>
          </w:tcPr>
          <w:p w14:paraId="62FAD1B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47.8</w:t>
            </w:r>
          </w:p>
        </w:tc>
        <w:tc>
          <w:tcPr>
            <w:tcW w:w="975" w:type="dxa"/>
            <w:tcBorders>
              <w:top w:val="single" w:sz="6" w:space="0" w:color="auto"/>
              <w:left w:val="single" w:sz="6" w:space="0" w:color="auto"/>
              <w:bottom w:val="single" w:sz="6" w:space="0" w:color="auto"/>
              <w:right w:val="single" w:sz="6" w:space="0" w:color="auto"/>
            </w:tcBorders>
          </w:tcPr>
          <w:p w14:paraId="4B4C09F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50.3</w:t>
            </w:r>
          </w:p>
        </w:tc>
        <w:tc>
          <w:tcPr>
            <w:tcW w:w="974" w:type="dxa"/>
            <w:tcBorders>
              <w:top w:val="single" w:sz="6" w:space="0" w:color="auto"/>
              <w:left w:val="single" w:sz="6" w:space="0" w:color="auto"/>
              <w:bottom w:val="single" w:sz="6" w:space="0" w:color="auto"/>
              <w:right w:val="single" w:sz="6" w:space="0" w:color="auto"/>
            </w:tcBorders>
          </w:tcPr>
          <w:p w14:paraId="3F26E9D9"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51.1</w:t>
            </w:r>
          </w:p>
        </w:tc>
        <w:tc>
          <w:tcPr>
            <w:tcW w:w="975" w:type="dxa"/>
            <w:tcBorders>
              <w:top w:val="single" w:sz="6" w:space="0" w:color="auto"/>
              <w:left w:val="single" w:sz="6" w:space="0" w:color="auto"/>
              <w:bottom w:val="single" w:sz="6" w:space="0" w:color="auto"/>
              <w:right w:val="single" w:sz="6" w:space="0" w:color="auto"/>
            </w:tcBorders>
          </w:tcPr>
          <w:p w14:paraId="52E60E9C"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52.3</w:t>
            </w:r>
          </w:p>
        </w:tc>
        <w:tc>
          <w:tcPr>
            <w:tcW w:w="974" w:type="dxa"/>
            <w:tcBorders>
              <w:top w:val="single" w:sz="6" w:space="0" w:color="auto"/>
              <w:left w:val="single" w:sz="6" w:space="0" w:color="auto"/>
              <w:bottom w:val="single" w:sz="6" w:space="0" w:color="auto"/>
              <w:right w:val="single" w:sz="6" w:space="0" w:color="auto"/>
            </w:tcBorders>
          </w:tcPr>
          <w:p w14:paraId="5ECB5C46"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51.1</w:t>
            </w:r>
          </w:p>
        </w:tc>
      </w:tr>
      <w:tr w:rsidR="003E49EB" w:rsidRPr="00392E0D" w14:paraId="51A146F6"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1FD36B91"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3</w:t>
            </w:r>
          </w:p>
        </w:tc>
        <w:tc>
          <w:tcPr>
            <w:tcW w:w="974" w:type="dxa"/>
            <w:tcBorders>
              <w:top w:val="single" w:sz="6" w:space="0" w:color="auto"/>
              <w:left w:val="single" w:sz="6" w:space="0" w:color="auto"/>
              <w:bottom w:val="single" w:sz="6" w:space="0" w:color="auto"/>
              <w:right w:val="single" w:sz="6" w:space="0" w:color="auto"/>
            </w:tcBorders>
          </w:tcPr>
          <w:p w14:paraId="0CD255F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51.0</w:t>
            </w:r>
          </w:p>
        </w:tc>
        <w:tc>
          <w:tcPr>
            <w:tcW w:w="975" w:type="dxa"/>
            <w:tcBorders>
              <w:top w:val="single" w:sz="6" w:space="0" w:color="auto"/>
              <w:left w:val="single" w:sz="6" w:space="0" w:color="auto"/>
              <w:bottom w:val="single" w:sz="6" w:space="0" w:color="auto"/>
              <w:right w:val="single" w:sz="6" w:space="0" w:color="auto"/>
            </w:tcBorders>
          </w:tcPr>
          <w:p w14:paraId="7C39D393"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54.7</w:t>
            </w:r>
          </w:p>
        </w:tc>
        <w:tc>
          <w:tcPr>
            <w:tcW w:w="974" w:type="dxa"/>
            <w:tcBorders>
              <w:top w:val="single" w:sz="6" w:space="0" w:color="auto"/>
              <w:left w:val="single" w:sz="6" w:space="0" w:color="auto"/>
              <w:bottom w:val="single" w:sz="6" w:space="0" w:color="auto"/>
              <w:right w:val="single" w:sz="6" w:space="0" w:color="auto"/>
            </w:tcBorders>
          </w:tcPr>
          <w:p w14:paraId="5176BA9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55.5</w:t>
            </w:r>
          </w:p>
        </w:tc>
        <w:tc>
          <w:tcPr>
            <w:tcW w:w="975" w:type="dxa"/>
            <w:tcBorders>
              <w:top w:val="single" w:sz="6" w:space="0" w:color="auto"/>
              <w:left w:val="single" w:sz="6" w:space="0" w:color="auto"/>
              <w:bottom w:val="single" w:sz="6" w:space="0" w:color="auto"/>
              <w:right w:val="single" w:sz="6" w:space="0" w:color="auto"/>
            </w:tcBorders>
          </w:tcPr>
          <w:p w14:paraId="52E12D5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56.6</w:t>
            </w:r>
          </w:p>
        </w:tc>
        <w:tc>
          <w:tcPr>
            <w:tcW w:w="974" w:type="dxa"/>
            <w:tcBorders>
              <w:top w:val="single" w:sz="6" w:space="0" w:color="auto"/>
              <w:left w:val="single" w:sz="6" w:space="0" w:color="auto"/>
              <w:bottom w:val="single" w:sz="6" w:space="0" w:color="auto"/>
              <w:right w:val="single" w:sz="6" w:space="0" w:color="auto"/>
            </w:tcBorders>
          </w:tcPr>
          <w:p w14:paraId="239621F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56.1</w:t>
            </w:r>
          </w:p>
        </w:tc>
      </w:tr>
      <w:tr w:rsidR="003E49EB" w:rsidRPr="00392E0D" w14:paraId="794FE0C2"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332C237C"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4</w:t>
            </w:r>
          </w:p>
        </w:tc>
        <w:tc>
          <w:tcPr>
            <w:tcW w:w="974" w:type="dxa"/>
            <w:tcBorders>
              <w:top w:val="single" w:sz="6" w:space="0" w:color="auto"/>
              <w:left w:val="single" w:sz="6" w:space="0" w:color="auto"/>
              <w:bottom w:val="single" w:sz="6" w:space="0" w:color="auto"/>
              <w:right w:val="single" w:sz="6" w:space="0" w:color="auto"/>
            </w:tcBorders>
          </w:tcPr>
          <w:p w14:paraId="3F5A16E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54.6</w:t>
            </w:r>
          </w:p>
        </w:tc>
        <w:tc>
          <w:tcPr>
            <w:tcW w:w="975" w:type="dxa"/>
            <w:tcBorders>
              <w:top w:val="single" w:sz="6" w:space="0" w:color="auto"/>
              <w:left w:val="single" w:sz="6" w:space="0" w:color="auto"/>
              <w:bottom w:val="single" w:sz="6" w:space="0" w:color="auto"/>
              <w:right w:val="single" w:sz="6" w:space="0" w:color="auto"/>
            </w:tcBorders>
          </w:tcPr>
          <w:p w14:paraId="7E2D6100"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58.3</w:t>
            </w:r>
          </w:p>
        </w:tc>
        <w:tc>
          <w:tcPr>
            <w:tcW w:w="974" w:type="dxa"/>
            <w:tcBorders>
              <w:top w:val="single" w:sz="6" w:space="0" w:color="auto"/>
              <w:left w:val="single" w:sz="6" w:space="0" w:color="auto"/>
              <w:bottom w:val="single" w:sz="6" w:space="0" w:color="auto"/>
              <w:right w:val="single" w:sz="6" w:space="0" w:color="auto"/>
            </w:tcBorders>
          </w:tcPr>
          <w:p w14:paraId="2DEF28F9"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59.1</w:t>
            </w:r>
          </w:p>
        </w:tc>
        <w:tc>
          <w:tcPr>
            <w:tcW w:w="975" w:type="dxa"/>
            <w:tcBorders>
              <w:top w:val="single" w:sz="6" w:space="0" w:color="auto"/>
              <w:left w:val="single" w:sz="6" w:space="0" w:color="auto"/>
              <w:bottom w:val="single" w:sz="6" w:space="0" w:color="auto"/>
              <w:right w:val="single" w:sz="6" w:space="0" w:color="auto"/>
            </w:tcBorders>
          </w:tcPr>
          <w:p w14:paraId="4B03A88E"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60.0</w:t>
            </w:r>
          </w:p>
        </w:tc>
        <w:tc>
          <w:tcPr>
            <w:tcW w:w="974" w:type="dxa"/>
            <w:tcBorders>
              <w:top w:val="single" w:sz="6" w:space="0" w:color="auto"/>
              <w:left w:val="single" w:sz="6" w:space="0" w:color="auto"/>
              <w:bottom w:val="single" w:sz="6" w:space="0" w:color="auto"/>
              <w:right w:val="single" w:sz="6" w:space="0" w:color="auto"/>
            </w:tcBorders>
          </w:tcPr>
          <w:p w14:paraId="6666301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59.0</w:t>
            </w:r>
          </w:p>
        </w:tc>
      </w:tr>
      <w:tr w:rsidR="003E49EB" w:rsidRPr="00392E0D" w14:paraId="2A3C33CC"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086E5CBB"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5 (least disadvantaged)</w:t>
            </w:r>
          </w:p>
        </w:tc>
        <w:tc>
          <w:tcPr>
            <w:tcW w:w="974" w:type="dxa"/>
            <w:tcBorders>
              <w:top w:val="single" w:sz="6" w:space="0" w:color="auto"/>
              <w:left w:val="single" w:sz="6" w:space="0" w:color="auto"/>
              <w:bottom w:val="single" w:sz="6" w:space="0" w:color="auto"/>
              <w:right w:val="single" w:sz="6" w:space="0" w:color="auto"/>
            </w:tcBorders>
          </w:tcPr>
          <w:p w14:paraId="0CE814EE"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59.9</w:t>
            </w:r>
          </w:p>
        </w:tc>
        <w:tc>
          <w:tcPr>
            <w:tcW w:w="975" w:type="dxa"/>
            <w:tcBorders>
              <w:top w:val="single" w:sz="6" w:space="0" w:color="auto"/>
              <w:left w:val="single" w:sz="6" w:space="0" w:color="auto"/>
              <w:bottom w:val="single" w:sz="6" w:space="0" w:color="auto"/>
              <w:right w:val="single" w:sz="6" w:space="0" w:color="auto"/>
            </w:tcBorders>
          </w:tcPr>
          <w:p w14:paraId="3E779B4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63.9</w:t>
            </w:r>
          </w:p>
        </w:tc>
        <w:tc>
          <w:tcPr>
            <w:tcW w:w="974" w:type="dxa"/>
            <w:tcBorders>
              <w:top w:val="single" w:sz="6" w:space="0" w:color="auto"/>
              <w:left w:val="single" w:sz="6" w:space="0" w:color="auto"/>
              <w:bottom w:val="single" w:sz="6" w:space="0" w:color="auto"/>
              <w:right w:val="single" w:sz="6" w:space="0" w:color="auto"/>
            </w:tcBorders>
          </w:tcPr>
          <w:p w14:paraId="0D8C715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62.7</w:t>
            </w:r>
          </w:p>
        </w:tc>
        <w:tc>
          <w:tcPr>
            <w:tcW w:w="975" w:type="dxa"/>
            <w:tcBorders>
              <w:top w:val="single" w:sz="6" w:space="0" w:color="auto"/>
              <w:left w:val="single" w:sz="6" w:space="0" w:color="auto"/>
              <w:bottom w:val="single" w:sz="6" w:space="0" w:color="auto"/>
              <w:right w:val="single" w:sz="6" w:space="0" w:color="auto"/>
            </w:tcBorders>
          </w:tcPr>
          <w:p w14:paraId="5FE6120A"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63.8</w:t>
            </w:r>
          </w:p>
        </w:tc>
        <w:tc>
          <w:tcPr>
            <w:tcW w:w="974" w:type="dxa"/>
            <w:tcBorders>
              <w:top w:val="single" w:sz="6" w:space="0" w:color="auto"/>
              <w:left w:val="single" w:sz="6" w:space="0" w:color="auto"/>
              <w:bottom w:val="single" w:sz="6" w:space="0" w:color="auto"/>
              <w:right w:val="single" w:sz="6" w:space="0" w:color="auto"/>
            </w:tcBorders>
          </w:tcPr>
          <w:p w14:paraId="184F033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63.4</w:t>
            </w:r>
          </w:p>
        </w:tc>
      </w:tr>
    </w:tbl>
    <w:p w14:paraId="152AE5DD" w14:textId="77777777" w:rsidR="0008506D" w:rsidRPr="00392E0D" w:rsidRDefault="0008506D" w:rsidP="0008506D">
      <w:pPr>
        <w:pStyle w:val="Heading2"/>
        <w:spacing w:before="240"/>
        <w:rPr>
          <w:rFonts w:cs="Arial"/>
        </w:rPr>
      </w:pPr>
      <w:r w:rsidRPr="00392E0D">
        <w:rPr>
          <w:rFonts w:cs="Arial"/>
        </w:rPr>
        <w:t>Percentage of children developmentally vulnerable by AEDC domain</w:t>
      </w:r>
    </w:p>
    <w:p w14:paraId="39E0E6AD" w14:textId="0EC99B4F" w:rsidR="003E49EB" w:rsidRPr="00392E0D" w:rsidRDefault="003E49EB" w:rsidP="003E49EB">
      <w:pPr>
        <w:pStyle w:val="Caption"/>
        <w:rPr>
          <w:rFonts w:eastAsiaTheme="minorHAnsi" w:cs="Arial"/>
          <w:color w:val="000000"/>
          <w:sz w:val="20"/>
          <w:szCs w:val="2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27</w:t>
      </w:r>
      <w:r w:rsidRPr="00392E0D">
        <w:rPr>
          <w:rFonts w:cs="Arial"/>
        </w:rPr>
        <w:fldChar w:fldCharType="end"/>
      </w:r>
      <w:r w:rsidRPr="00392E0D">
        <w:rPr>
          <w:rFonts w:cs="Arial"/>
        </w:rPr>
        <w:tab/>
      </w:r>
      <w:r w:rsidRPr="00392E0D">
        <w:rPr>
          <w:rFonts w:eastAsiaTheme="minorHAnsi" w:cs="Arial"/>
        </w:rPr>
        <w:t>Percentage of children developmentally vulnerable on Physical health and wellbeing domain, by</w:t>
      </w:r>
      <w:r w:rsidRPr="00392E0D">
        <w:rPr>
          <w:rFonts w:eastAsiaTheme="minorHAnsi" w:cs="Arial"/>
          <w:color w:val="000000"/>
          <w:sz w:val="20"/>
          <w:szCs w:val="20"/>
          <w:lang w:val="en-AU"/>
        </w:rPr>
        <w:t xml:space="preserve"> </w:t>
      </w:r>
      <w:proofErr w:type="spellStart"/>
      <w:r w:rsidRPr="00392E0D">
        <w:rPr>
          <w:rFonts w:eastAsiaTheme="minorHAnsi" w:cs="Arial"/>
          <w:color w:val="000000"/>
          <w:sz w:val="20"/>
          <w:szCs w:val="20"/>
          <w:lang w:val="en-AU"/>
        </w:rPr>
        <w:t>SEIFA</w:t>
      </w:r>
      <w:proofErr w:type="spellEnd"/>
      <w:r w:rsidRPr="00392E0D">
        <w:rPr>
          <w:rFonts w:eastAsiaTheme="minorHAnsi" w:cs="Arial"/>
          <w:color w:val="000000"/>
          <w:sz w:val="20"/>
          <w:szCs w:val="20"/>
          <w:lang w:val="en-AU"/>
        </w:rPr>
        <w:t xml:space="preserve"> quintile</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3E49EB" w:rsidRPr="00392E0D" w14:paraId="2CAD8735" w14:textId="77777777" w:rsidTr="00385292">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52AB26F"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320C3453"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1940327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4EDDB32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2A3000B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0E995DBB"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E49EB" w:rsidRPr="00392E0D" w14:paraId="471ECBDC"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1828BF8B"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1 (most disadvantaged)</w:t>
            </w:r>
          </w:p>
        </w:tc>
        <w:tc>
          <w:tcPr>
            <w:tcW w:w="974" w:type="dxa"/>
            <w:tcBorders>
              <w:top w:val="single" w:sz="6" w:space="0" w:color="auto"/>
              <w:left w:val="single" w:sz="6" w:space="0" w:color="auto"/>
              <w:bottom w:val="single" w:sz="6" w:space="0" w:color="auto"/>
              <w:right w:val="single" w:sz="6" w:space="0" w:color="auto"/>
            </w:tcBorders>
          </w:tcPr>
          <w:p w14:paraId="6E48EF51"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13.2</w:t>
            </w:r>
          </w:p>
        </w:tc>
        <w:tc>
          <w:tcPr>
            <w:tcW w:w="975" w:type="dxa"/>
            <w:tcBorders>
              <w:top w:val="single" w:sz="6" w:space="0" w:color="auto"/>
              <w:left w:val="single" w:sz="6" w:space="0" w:color="auto"/>
              <w:bottom w:val="single" w:sz="6" w:space="0" w:color="auto"/>
              <w:right w:val="single" w:sz="6" w:space="0" w:color="auto"/>
            </w:tcBorders>
          </w:tcPr>
          <w:p w14:paraId="7F11DCA0"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w:t>
            </w:r>
          </w:p>
        </w:tc>
        <w:tc>
          <w:tcPr>
            <w:tcW w:w="974" w:type="dxa"/>
            <w:tcBorders>
              <w:top w:val="single" w:sz="6" w:space="0" w:color="auto"/>
              <w:left w:val="single" w:sz="6" w:space="0" w:color="auto"/>
              <w:bottom w:val="single" w:sz="6" w:space="0" w:color="auto"/>
              <w:right w:val="single" w:sz="6" w:space="0" w:color="auto"/>
            </w:tcBorders>
          </w:tcPr>
          <w:p w14:paraId="6B49DD09"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w:t>
            </w:r>
          </w:p>
        </w:tc>
        <w:tc>
          <w:tcPr>
            <w:tcW w:w="975" w:type="dxa"/>
            <w:tcBorders>
              <w:top w:val="single" w:sz="6" w:space="0" w:color="auto"/>
              <w:left w:val="single" w:sz="6" w:space="0" w:color="auto"/>
              <w:bottom w:val="single" w:sz="6" w:space="0" w:color="auto"/>
              <w:right w:val="single" w:sz="6" w:space="0" w:color="auto"/>
            </w:tcBorders>
          </w:tcPr>
          <w:p w14:paraId="0BB1864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15.3</w:t>
            </w:r>
          </w:p>
        </w:tc>
        <w:tc>
          <w:tcPr>
            <w:tcW w:w="974" w:type="dxa"/>
            <w:tcBorders>
              <w:top w:val="single" w:sz="6" w:space="0" w:color="auto"/>
              <w:left w:val="single" w:sz="6" w:space="0" w:color="auto"/>
              <w:bottom w:val="single" w:sz="6" w:space="0" w:color="auto"/>
              <w:right w:val="single" w:sz="6" w:space="0" w:color="auto"/>
            </w:tcBorders>
          </w:tcPr>
          <w:p w14:paraId="3479FE5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16.1</w:t>
            </w:r>
          </w:p>
        </w:tc>
      </w:tr>
      <w:tr w:rsidR="003E49EB" w:rsidRPr="00392E0D" w14:paraId="6D5DC887"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037F8D9E"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5 (least disadvantaged)</w:t>
            </w:r>
          </w:p>
        </w:tc>
        <w:tc>
          <w:tcPr>
            <w:tcW w:w="974" w:type="dxa"/>
            <w:tcBorders>
              <w:top w:val="single" w:sz="6" w:space="0" w:color="auto"/>
              <w:left w:val="single" w:sz="6" w:space="0" w:color="auto"/>
              <w:bottom w:val="single" w:sz="6" w:space="0" w:color="auto"/>
              <w:right w:val="single" w:sz="6" w:space="0" w:color="auto"/>
            </w:tcBorders>
          </w:tcPr>
          <w:p w14:paraId="4F689FF1"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w:t>
            </w:r>
          </w:p>
        </w:tc>
        <w:tc>
          <w:tcPr>
            <w:tcW w:w="975" w:type="dxa"/>
            <w:tcBorders>
              <w:top w:val="single" w:sz="6" w:space="0" w:color="auto"/>
              <w:left w:val="single" w:sz="6" w:space="0" w:color="auto"/>
              <w:bottom w:val="single" w:sz="6" w:space="0" w:color="auto"/>
              <w:right w:val="single" w:sz="6" w:space="0" w:color="auto"/>
            </w:tcBorders>
          </w:tcPr>
          <w:p w14:paraId="7BCCCD91"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w:t>
            </w:r>
          </w:p>
        </w:tc>
        <w:tc>
          <w:tcPr>
            <w:tcW w:w="974" w:type="dxa"/>
            <w:tcBorders>
              <w:top w:val="single" w:sz="6" w:space="0" w:color="auto"/>
              <w:left w:val="single" w:sz="6" w:space="0" w:color="auto"/>
              <w:bottom w:val="single" w:sz="6" w:space="0" w:color="auto"/>
              <w:right w:val="single" w:sz="6" w:space="0" w:color="auto"/>
            </w:tcBorders>
          </w:tcPr>
          <w:p w14:paraId="7AF73EE4"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w:t>
            </w:r>
          </w:p>
        </w:tc>
        <w:tc>
          <w:tcPr>
            <w:tcW w:w="975" w:type="dxa"/>
            <w:tcBorders>
              <w:top w:val="single" w:sz="6" w:space="0" w:color="auto"/>
              <w:left w:val="single" w:sz="6" w:space="0" w:color="auto"/>
              <w:bottom w:val="single" w:sz="6" w:space="0" w:color="auto"/>
              <w:right w:val="single" w:sz="6" w:space="0" w:color="auto"/>
            </w:tcBorders>
          </w:tcPr>
          <w:p w14:paraId="7A349D8C"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w:t>
            </w:r>
          </w:p>
        </w:tc>
        <w:tc>
          <w:tcPr>
            <w:tcW w:w="974" w:type="dxa"/>
            <w:tcBorders>
              <w:top w:val="single" w:sz="6" w:space="0" w:color="auto"/>
              <w:left w:val="single" w:sz="6" w:space="0" w:color="auto"/>
              <w:bottom w:val="single" w:sz="6" w:space="0" w:color="auto"/>
              <w:right w:val="single" w:sz="6" w:space="0" w:color="auto"/>
            </w:tcBorders>
          </w:tcPr>
          <w:p w14:paraId="4F8CF347"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w:t>
            </w:r>
          </w:p>
        </w:tc>
      </w:tr>
    </w:tbl>
    <w:p w14:paraId="153BAE71" w14:textId="4BDC88E3" w:rsidR="003E49EB" w:rsidRPr="00392E0D" w:rsidRDefault="003E49EB" w:rsidP="00385292">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28</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w:t>
      </w:r>
      <w:proofErr w:type="gramStart"/>
      <w:r w:rsidRPr="00392E0D">
        <w:rPr>
          <w:rFonts w:eastAsiaTheme="minorHAnsi" w:cs="Arial"/>
          <w:lang w:val="en-AU"/>
        </w:rPr>
        <w:t>Social</w:t>
      </w:r>
      <w:proofErr w:type="gramEnd"/>
      <w:r w:rsidRPr="00392E0D">
        <w:rPr>
          <w:rFonts w:eastAsiaTheme="minorHAnsi" w:cs="Arial"/>
          <w:lang w:val="en-AU"/>
        </w:rPr>
        <w:t xml:space="preserve"> competence domain, by </w:t>
      </w:r>
      <w:proofErr w:type="spellStart"/>
      <w:r w:rsidRPr="00392E0D">
        <w:rPr>
          <w:rFonts w:eastAsiaTheme="minorHAnsi" w:cs="Arial"/>
          <w:lang w:val="en-AU"/>
        </w:rPr>
        <w:t>SEIFA</w:t>
      </w:r>
      <w:proofErr w:type="spellEnd"/>
      <w:r w:rsidRPr="00392E0D">
        <w:rPr>
          <w:rFonts w:eastAsiaTheme="minorHAnsi" w:cs="Arial"/>
          <w:lang w:val="en-AU"/>
        </w:rPr>
        <w:t xml:space="preserve"> quintile</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3E49EB" w:rsidRPr="00392E0D" w14:paraId="6C802659" w14:textId="77777777" w:rsidTr="00385292">
        <w:trPr>
          <w:trHeight w:val="287"/>
          <w:tblHeader/>
        </w:trPr>
        <w:tc>
          <w:tcPr>
            <w:tcW w:w="3774" w:type="dxa"/>
            <w:tcBorders>
              <w:top w:val="single" w:sz="6" w:space="0" w:color="auto"/>
              <w:left w:val="single" w:sz="6" w:space="0" w:color="auto"/>
              <w:bottom w:val="single" w:sz="6" w:space="0" w:color="auto"/>
              <w:right w:val="single" w:sz="6" w:space="0" w:color="auto"/>
            </w:tcBorders>
          </w:tcPr>
          <w:p w14:paraId="71FA577E"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2BFB7AA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99D3880"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4F8D6C8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7F8A4632"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76B3D85C"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E49EB" w:rsidRPr="00392E0D" w14:paraId="12892FA3"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0B4C17F3"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1 (most disadvantaged)</w:t>
            </w:r>
          </w:p>
        </w:tc>
        <w:tc>
          <w:tcPr>
            <w:tcW w:w="974" w:type="dxa"/>
            <w:tcBorders>
              <w:top w:val="single" w:sz="6" w:space="0" w:color="auto"/>
              <w:left w:val="single" w:sz="6" w:space="0" w:color="auto"/>
              <w:bottom w:val="single" w:sz="6" w:space="0" w:color="auto"/>
              <w:right w:val="single" w:sz="6" w:space="0" w:color="auto"/>
            </w:tcBorders>
          </w:tcPr>
          <w:p w14:paraId="013F833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13.3</w:t>
            </w:r>
          </w:p>
        </w:tc>
        <w:tc>
          <w:tcPr>
            <w:tcW w:w="975" w:type="dxa"/>
            <w:tcBorders>
              <w:top w:val="single" w:sz="6" w:space="0" w:color="auto"/>
              <w:left w:val="single" w:sz="6" w:space="0" w:color="auto"/>
              <w:bottom w:val="single" w:sz="6" w:space="0" w:color="auto"/>
              <w:right w:val="single" w:sz="6" w:space="0" w:color="auto"/>
            </w:tcBorders>
          </w:tcPr>
          <w:p w14:paraId="7C9AC3AD"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14.2</w:t>
            </w:r>
          </w:p>
        </w:tc>
        <w:tc>
          <w:tcPr>
            <w:tcW w:w="974" w:type="dxa"/>
            <w:tcBorders>
              <w:top w:val="single" w:sz="6" w:space="0" w:color="auto"/>
              <w:left w:val="single" w:sz="6" w:space="0" w:color="auto"/>
              <w:bottom w:val="single" w:sz="6" w:space="0" w:color="auto"/>
              <w:right w:val="single" w:sz="6" w:space="0" w:color="auto"/>
            </w:tcBorders>
          </w:tcPr>
          <w:p w14:paraId="5851C21A"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15.2</w:t>
            </w:r>
          </w:p>
        </w:tc>
        <w:tc>
          <w:tcPr>
            <w:tcW w:w="975" w:type="dxa"/>
            <w:tcBorders>
              <w:top w:val="single" w:sz="6" w:space="0" w:color="auto"/>
              <w:left w:val="single" w:sz="6" w:space="0" w:color="auto"/>
              <w:bottom w:val="single" w:sz="6" w:space="0" w:color="auto"/>
              <w:right w:val="single" w:sz="6" w:space="0" w:color="auto"/>
            </w:tcBorders>
          </w:tcPr>
          <w:p w14:paraId="5390475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w:t>
            </w:r>
          </w:p>
        </w:tc>
        <w:tc>
          <w:tcPr>
            <w:tcW w:w="974" w:type="dxa"/>
            <w:tcBorders>
              <w:top w:val="single" w:sz="6" w:space="0" w:color="auto"/>
              <w:left w:val="single" w:sz="6" w:space="0" w:color="auto"/>
              <w:bottom w:val="single" w:sz="6" w:space="0" w:color="auto"/>
              <w:right w:val="single" w:sz="6" w:space="0" w:color="auto"/>
            </w:tcBorders>
          </w:tcPr>
          <w:p w14:paraId="610EDEE0"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15.1</w:t>
            </w:r>
          </w:p>
        </w:tc>
      </w:tr>
      <w:tr w:rsidR="003E49EB" w:rsidRPr="00392E0D" w14:paraId="20DACEB3"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33F54826"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5 (least disadvantaged)</w:t>
            </w:r>
          </w:p>
        </w:tc>
        <w:tc>
          <w:tcPr>
            <w:tcW w:w="974" w:type="dxa"/>
            <w:tcBorders>
              <w:top w:val="single" w:sz="6" w:space="0" w:color="auto"/>
              <w:left w:val="single" w:sz="6" w:space="0" w:color="auto"/>
              <w:bottom w:val="single" w:sz="6" w:space="0" w:color="auto"/>
              <w:right w:val="single" w:sz="6" w:space="0" w:color="auto"/>
            </w:tcBorders>
          </w:tcPr>
          <w:p w14:paraId="63DD9BAA"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w:t>
            </w:r>
          </w:p>
        </w:tc>
        <w:tc>
          <w:tcPr>
            <w:tcW w:w="975" w:type="dxa"/>
            <w:tcBorders>
              <w:top w:val="single" w:sz="6" w:space="0" w:color="auto"/>
              <w:left w:val="single" w:sz="6" w:space="0" w:color="auto"/>
              <w:bottom w:val="single" w:sz="6" w:space="0" w:color="auto"/>
              <w:right w:val="single" w:sz="6" w:space="0" w:color="auto"/>
            </w:tcBorders>
          </w:tcPr>
          <w:p w14:paraId="47A9BBFF"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w:t>
            </w:r>
          </w:p>
        </w:tc>
        <w:tc>
          <w:tcPr>
            <w:tcW w:w="974" w:type="dxa"/>
            <w:tcBorders>
              <w:top w:val="single" w:sz="6" w:space="0" w:color="auto"/>
              <w:left w:val="single" w:sz="6" w:space="0" w:color="auto"/>
              <w:bottom w:val="single" w:sz="6" w:space="0" w:color="auto"/>
              <w:right w:val="single" w:sz="6" w:space="0" w:color="auto"/>
            </w:tcBorders>
          </w:tcPr>
          <w:p w14:paraId="559E0D69"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w:t>
            </w:r>
          </w:p>
        </w:tc>
        <w:tc>
          <w:tcPr>
            <w:tcW w:w="975" w:type="dxa"/>
            <w:tcBorders>
              <w:top w:val="single" w:sz="6" w:space="0" w:color="auto"/>
              <w:left w:val="single" w:sz="6" w:space="0" w:color="auto"/>
              <w:bottom w:val="single" w:sz="6" w:space="0" w:color="auto"/>
              <w:right w:val="single" w:sz="6" w:space="0" w:color="auto"/>
            </w:tcBorders>
          </w:tcPr>
          <w:p w14:paraId="2B7564F0"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w:t>
            </w:r>
          </w:p>
        </w:tc>
        <w:tc>
          <w:tcPr>
            <w:tcW w:w="974" w:type="dxa"/>
            <w:tcBorders>
              <w:top w:val="single" w:sz="6" w:space="0" w:color="auto"/>
              <w:left w:val="single" w:sz="6" w:space="0" w:color="auto"/>
              <w:bottom w:val="single" w:sz="6" w:space="0" w:color="auto"/>
              <w:right w:val="single" w:sz="6" w:space="0" w:color="auto"/>
            </w:tcBorders>
          </w:tcPr>
          <w:p w14:paraId="51AE2553"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w:t>
            </w:r>
          </w:p>
        </w:tc>
      </w:tr>
    </w:tbl>
    <w:p w14:paraId="29982C29" w14:textId="77777777" w:rsidR="00385292" w:rsidRPr="00392E0D" w:rsidRDefault="00385292">
      <w:pPr>
        <w:widowControl/>
        <w:autoSpaceDE/>
        <w:autoSpaceDN/>
        <w:rPr>
          <w:rFonts w:ascii="Arial" w:eastAsia="Times New Roman" w:hAnsi="Arial" w:cs="Arial"/>
          <w:color w:val="000000" w:themeColor="text1"/>
          <w:szCs w:val="18"/>
        </w:rPr>
      </w:pPr>
      <w:r w:rsidRPr="00392E0D">
        <w:rPr>
          <w:rFonts w:ascii="Arial" w:hAnsi="Arial" w:cs="Arial"/>
        </w:rPr>
        <w:br w:type="page"/>
      </w:r>
    </w:p>
    <w:p w14:paraId="121C4DB9" w14:textId="3A5F7551" w:rsidR="003E49EB" w:rsidRPr="00392E0D" w:rsidRDefault="003E49EB" w:rsidP="00385292">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29</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Emotional maturity domain, by </w:t>
      </w:r>
      <w:proofErr w:type="spellStart"/>
      <w:r w:rsidRPr="00392E0D">
        <w:rPr>
          <w:rFonts w:eastAsiaTheme="minorHAnsi" w:cs="Arial"/>
          <w:lang w:val="en-AU"/>
        </w:rPr>
        <w:t>SEIFA</w:t>
      </w:r>
      <w:proofErr w:type="spellEnd"/>
      <w:r w:rsidRPr="00392E0D">
        <w:rPr>
          <w:rFonts w:eastAsiaTheme="minorHAnsi" w:cs="Arial"/>
          <w:lang w:val="en-AU"/>
        </w:rPr>
        <w:t xml:space="preserve"> quintile</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3E49EB" w:rsidRPr="00392E0D" w14:paraId="63C949CC" w14:textId="77777777" w:rsidTr="00385292">
        <w:trPr>
          <w:trHeight w:val="287"/>
          <w:tblHeader/>
        </w:trPr>
        <w:tc>
          <w:tcPr>
            <w:tcW w:w="3774" w:type="dxa"/>
            <w:tcBorders>
              <w:top w:val="single" w:sz="6" w:space="0" w:color="auto"/>
              <w:left w:val="single" w:sz="6" w:space="0" w:color="auto"/>
              <w:bottom w:val="single" w:sz="6" w:space="0" w:color="auto"/>
              <w:right w:val="single" w:sz="6" w:space="0" w:color="auto"/>
            </w:tcBorders>
          </w:tcPr>
          <w:p w14:paraId="3C88ECBC"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6BEEBD57"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40E292AA"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4F215880"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4D4D110C"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2093DE71"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E49EB" w:rsidRPr="00392E0D" w14:paraId="055F50B7"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3C211284"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1 (most disadvantaged)</w:t>
            </w:r>
          </w:p>
        </w:tc>
        <w:tc>
          <w:tcPr>
            <w:tcW w:w="974" w:type="dxa"/>
            <w:tcBorders>
              <w:top w:val="single" w:sz="6" w:space="0" w:color="auto"/>
              <w:left w:val="single" w:sz="6" w:space="0" w:color="auto"/>
              <w:bottom w:val="single" w:sz="6" w:space="0" w:color="auto"/>
              <w:right w:val="single" w:sz="6" w:space="0" w:color="auto"/>
            </w:tcBorders>
          </w:tcPr>
          <w:p w14:paraId="5BD03203"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12.0</w:t>
            </w:r>
          </w:p>
        </w:tc>
        <w:tc>
          <w:tcPr>
            <w:tcW w:w="975" w:type="dxa"/>
            <w:tcBorders>
              <w:top w:val="single" w:sz="6" w:space="0" w:color="auto"/>
              <w:left w:val="single" w:sz="6" w:space="0" w:color="auto"/>
              <w:bottom w:val="single" w:sz="6" w:space="0" w:color="auto"/>
              <w:right w:val="single" w:sz="6" w:space="0" w:color="auto"/>
            </w:tcBorders>
          </w:tcPr>
          <w:p w14:paraId="5D1B71AF"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11.2</w:t>
            </w:r>
          </w:p>
        </w:tc>
        <w:tc>
          <w:tcPr>
            <w:tcW w:w="974" w:type="dxa"/>
            <w:tcBorders>
              <w:top w:val="single" w:sz="6" w:space="0" w:color="auto"/>
              <w:left w:val="single" w:sz="6" w:space="0" w:color="auto"/>
              <w:bottom w:val="single" w:sz="6" w:space="0" w:color="auto"/>
              <w:right w:val="single" w:sz="6" w:space="0" w:color="auto"/>
            </w:tcBorders>
          </w:tcPr>
          <w:p w14:paraId="00E52331"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12.0</w:t>
            </w:r>
          </w:p>
        </w:tc>
        <w:tc>
          <w:tcPr>
            <w:tcW w:w="975" w:type="dxa"/>
            <w:tcBorders>
              <w:top w:val="single" w:sz="6" w:space="0" w:color="auto"/>
              <w:left w:val="single" w:sz="6" w:space="0" w:color="auto"/>
              <w:bottom w:val="single" w:sz="6" w:space="0" w:color="auto"/>
              <w:right w:val="single" w:sz="6" w:space="0" w:color="auto"/>
            </w:tcBorders>
          </w:tcPr>
          <w:p w14:paraId="7183AF6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12.0</w:t>
            </w:r>
          </w:p>
        </w:tc>
        <w:tc>
          <w:tcPr>
            <w:tcW w:w="974" w:type="dxa"/>
            <w:tcBorders>
              <w:top w:val="single" w:sz="6" w:space="0" w:color="auto"/>
              <w:left w:val="single" w:sz="6" w:space="0" w:color="auto"/>
              <w:bottom w:val="single" w:sz="6" w:space="0" w:color="auto"/>
              <w:right w:val="single" w:sz="6" w:space="0" w:color="auto"/>
            </w:tcBorders>
          </w:tcPr>
          <w:p w14:paraId="63EC900E"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12.3</w:t>
            </w:r>
          </w:p>
        </w:tc>
      </w:tr>
      <w:tr w:rsidR="003E49EB" w:rsidRPr="00392E0D" w14:paraId="10E553F6"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34A837F9"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5 (least disadvantaged)</w:t>
            </w:r>
          </w:p>
        </w:tc>
        <w:tc>
          <w:tcPr>
            <w:tcW w:w="974" w:type="dxa"/>
            <w:tcBorders>
              <w:top w:val="single" w:sz="6" w:space="0" w:color="auto"/>
              <w:left w:val="single" w:sz="6" w:space="0" w:color="auto"/>
              <w:bottom w:val="single" w:sz="6" w:space="0" w:color="auto"/>
              <w:right w:val="single" w:sz="6" w:space="0" w:color="auto"/>
            </w:tcBorders>
          </w:tcPr>
          <w:p w14:paraId="34782DD7"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w:t>
            </w:r>
          </w:p>
        </w:tc>
        <w:tc>
          <w:tcPr>
            <w:tcW w:w="975" w:type="dxa"/>
            <w:tcBorders>
              <w:top w:val="single" w:sz="6" w:space="0" w:color="auto"/>
              <w:left w:val="single" w:sz="6" w:space="0" w:color="auto"/>
              <w:bottom w:val="single" w:sz="6" w:space="0" w:color="auto"/>
              <w:right w:val="single" w:sz="6" w:space="0" w:color="auto"/>
            </w:tcBorders>
          </w:tcPr>
          <w:p w14:paraId="0183578B"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w:t>
            </w:r>
          </w:p>
        </w:tc>
        <w:tc>
          <w:tcPr>
            <w:tcW w:w="974" w:type="dxa"/>
            <w:tcBorders>
              <w:top w:val="single" w:sz="6" w:space="0" w:color="auto"/>
              <w:left w:val="single" w:sz="6" w:space="0" w:color="auto"/>
              <w:bottom w:val="single" w:sz="6" w:space="0" w:color="auto"/>
              <w:right w:val="single" w:sz="6" w:space="0" w:color="auto"/>
            </w:tcBorders>
          </w:tcPr>
          <w:p w14:paraId="26C21915"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w:t>
            </w:r>
          </w:p>
        </w:tc>
        <w:tc>
          <w:tcPr>
            <w:tcW w:w="975" w:type="dxa"/>
            <w:tcBorders>
              <w:top w:val="single" w:sz="6" w:space="0" w:color="auto"/>
              <w:left w:val="single" w:sz="6" w:space="0" w:color="auto"/>
              <w:bottom w:val="single" w:sz="6" w:space="0" w:color="auto"/>
              <w:right w:val="single" w:sz="6" w:space="0" w:color="auto"/>
            </w:tcBorders>
          </w:tcPr>
          <w:p w14:paraId="7F490D33"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w:t>
            </w:r>
          </w:p>
        </w:tc>
        <w:tc>
          <w:tcPr>
            <w:tcW w:w="974" w:type="dxa"/>
            <w:tcBorders>
              <w:top w:val="single" w:sz="6" w:space="0" w:color="auto"/>
              <w:left w:val="single" w:sz="6" w:space="0" w:color="auto"/>
              <w:bottom w:val="single" w:sz="6" w:space="0" w:color="auto"/>
              <w:right w:val="single" w:sz="6" w:space="0" w:color="auto"/>
            </w:tcBorders>
          </w:tcPr>
          <w:p w14:paraId="308C4950"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w:t>
            </w:r>
          </w:p>
        </w:tc>
      </w:tr>
    </w:tbl>
    <w:p w14:paraId="6610284C" w14:textId="6769C09B" w:rsidR="003E49EB" w:rsidRPr="00392E0D" w:rsidRDefault="003E49EB" w:rsidP="00385292">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30</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Language and cognitive skills (school-based) domain, by </w:t>
      </w:r>
      <w:proofErr w:type="spellStart"/>
      <w:r w:rsidRPr="00392E0D">
        <w:rPr>
          <w:rFonts w:eastAsiaTheme="minorHAnsi" w:cs="Arial"/>
          <w:lang w:val="en-AU"/>
        </w:rPr>
        <w:t>SEIFA</w:t>
      </w:r>
      <w:proofErr w:type="spellEnd"/>
      <w:r w:rsidRPr="00392E0D">
        <w:rPr>
          <w:rFonts w:eastAsiaTheme="minorHAnsi" w:cs="Arial"/>
          <w:lang w:val="en-AU"/>
        </w:rPr>
        <w:t xml:space="preserve"> quintile</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3E49EB" w:rsidRPr="00392E0D" w14:paraId="253A40EA" w14:textId="77777777" w:rsidTr="00385292">
        <w:trPr>
          <w:trHeight w:val="287"/>
          <w:tblHeader/>
        </w:trPr>
        <w:tc>
          <w:tcPr>
            <w:tcW w:w="3774" w:type="dxa"/>
            <w:tcBorders>
              <w:top w:val="single" w:sz="6" w:space="0" w:color="auto"/>
              <w:left w:val="single" w:sz="6" w:space="0" w:color="auto"/>
              <w:bottom w:val="single" w:sz="6" w:space="0" w:color="auto"/>
              <w:right w:val="single" w:sz="6" w:space="0" w:color="auto"/>
            </w:tcBorders>
          </w:tcPr>
          <w:p w14:paraId="3BE88496" w14:textId="77777777" w:rsidR="003E49EB" w:rsidRPr="00392E0D" w:rsidRDefault="003E49EB" w:rsidP="00385292">
            <w:pPr>
              <w:pStyle w:val="Caption"/>
              <w:jc w:val="center"/>
              <w:rPr>
                <w:rFonts w:eastAsiaTheme="minorHAnsi" w:cs="Arial"/>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62333A8B" w14:textId="77777777" w:rsidR="003E49EB" w:rsidRPr="00392E0D" w:rsidRDefault="003E49EB" w:rsidP="00385292">
            <w:pPr>
              <w:pStyle w:val="Caption"/>
              <w:jc w:val="center"/>
              <w:rPr>
                <w:rFonts w:eastAsiaTheme="minorHAnsi" w:cs="Arial"/>
                <w:sz w:val="20"/>
                <w:szCs w:val="20"/>
                <w:lang w:val="en-AU"/>
              </w:rPr>
            </w:pPr>
            <w:r w:rsidRPr="00392E0D">
              <w:rPr>
                <w:rFonts w:eastAsiaTheme="minorHAnsi" w:cs="Arial"/>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259CE58" w14:textId="77777777" w:rsidR="003E49EB" w:rsidRPr="00392E0D" w:rsidRDefault="003E49EB" w:rsidP="00385292">
            <w:pPr>
              <w:pStyle w:val="Caption"/>
              <w:jc w:val="center"/>
              <w:rPr>
                <w:rFonts w:eastAsiaTheme="minorHAnsi" w:cs="Arial"/>
                <w:sz w:val="20"/>
                <w:szCs w:val="20"/>
                <w:lang w:val="en-AU"/>
              </w:rPr>
            </w:pPr>
            <w:r w:rsidRPr="00392E0D">
              <w:rPr>
                <w:rFonts w:eastAsiaTheme="minorHAnsi" w:cs="Arial"/>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2A4DFCBB" w14:textId="77777777" w:rsidR="003E49EB" w:rsidRPr="00392E0D" w:rsidRDefault="003E49EB" w:rsidP="00385292">
            <w:pPr>
              <w:pStyle w:val="Caption"/>
              <w:jc w:val="center"/>
              <w:rPr>
                <w:rFonts w:eastAsiaTheme="minorHAnsi" w:cs="Arial"/>
                <w:sz w:val="20"/>
                <w:szCs w:val="20"/>
                <w:lang w:val="en-AU"/>
              </w:rPr>
            </w:pPr>
            <w:r w:rsidRPr="00392E0D">
              <w:rPr>
                <w:rFonts w:eastAsiaTheme="minorHAnsi" w:cs="Arial"/>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0CE567F4" w14:textId="77777777" w:rsidR="003E49EB" w:rsidRPr="00392E0D" w:rsidRDefault="003E49EB" w:rsidP="00385292">
            <w:pPr>
              <w:pStyle w:val="Caption"/>
              <w:jc w:val="center"/>
              <w:rPr>
                <w:rFonts w:eastAsiaTheme="minorHAnsi" w:cs="Arial"/>
                <w:sz w:val="20"/>
                <w:szCs w:val="20"/>
                <w:lang w:val="en-AU"/>
              </w:rPr>
            </w:pPr>
            <w:r w:rsidRPr="00392E0D">
              <w:rPr>
                <w:rFonts w:eastAsiaTheme="minorHAnsi" w:cs="Arial"/>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57D1C332" w14:textId="77777777" w:rsidR="003E49EB" w:rsidRPr="00392E0D" w:rsidRDefault="003E49EB" w:rsidP="00385292">
            <w:pPr>
              <w:pStyle w:val="Caption"/>
              <w:jc w:val="center"/>
              <w:rPr>
                <w:rFonts w:eastAsiaTheme="minorHAnsi" w:cs="Arial"/>
                <w:sz w:val="20"/>
                <w:szCs w:val="20"/>
                <w:lang w:val="en-AU"/>
              </w:rPr>
            </w:pPr>
            <w:r w:rsidRPr="00392E0D">
              <w:rPr>
                <w:rFonts w:eastAsiaTheme="minorHAnsi" w:cs="Arial"/>
                <w:sz w:val="20"/>
                <w:szCs w:val="20"/>
                <w:lang w:val="en-AU"/>
              </w:rPr>
              <w:t>2021</w:t>
            </w:r>
          </w:p>
        </w:tc>
      </w:tr>
      <w:tr w:rsidR="003E49EB" w:rsidRPr="00392E0D" w14:paraId="1959C81D"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46D90C20"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1 (most disadvantaged)</w:t>
            </w:r>
          </w:p>
        </w:tc>
        <w:tc>
          <w:tcPr>
            <w:tcW w:w="974" w:type="dxa"/>
            <w:tcBorders>
              <w:top w:val="single" w:sz="6" w:space="0" w:color="auto"/>
              <w:left w:val="single" w:sz="6" w:space="0" w:color="auto"/>
              <w:bottom w:val="single" w:sz="6" w:space="0" w:color="auto"/>
              <w:right w:val="single" w:sz="6" w:space="0" w:color="auto"/>
            </w:tcBorders>
          </w:tcPr>
          <w:p w14:paraId="0FB30D8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14.2</w:t>
            </w:r>
          </w:p>
        </w:tc>
        <w:tc>
          <w:tcPr>
            <w:tcW w:w="975" w:type="dxa"/>
            <w:tcBorders>
              <w:top w:val="single" w:sz="6" w:space="0" w:color="auto"/>
              <w:left w:val="single" w:sz="6" w:space="0" w:color="auto"/>
              <w:bottom w:val="single" w:sz="6" w:space="0" w:color="auto"/>
              <w:right w:val="single" w:sz="6" w:space="0" w:color="auto"/>
            </w:tcBorders>
          </w:tcPr>
          <w:p w14:paraId="631ACF1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12.6</w:t>
            </w:r>
          </w:p>
        </w:tc>
        <w:tc>
          <w:tcPr>
            <w:tcW w:w="974" w:type="dxa"/>
            <w:tcBorders>
              <w:top w:val="single" w:sz="6" w:space="0" w:color="auto"/>
              <w:left w:val="single" w:sz="6" w:space="0" w:color="auto"/>
              <w:bottom w:val="single" w:sz="6" w:space="0" w:color="auto"/>
              <w:right w:val="single" w:sz="6" w:space="0" w:color="auto"/>
            </w:tcBorders>
          </w:tcPr>
          <w:p w14:paraId="168726B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w:t>
            </w:r>
          </w:p>
        </w:tc>
        <w:tc>
          <w:tcPr>
            <w:tcW w:w="975" w:type="dxa"/>
            <w:tcBorders>
              <w:top w:val="single" w:sz="6" w:space="0" w:color="auto"/>
              <w:left w:val="single" w:sz="6" w:space="0" w:color="auto"/>
              <w:bottom w:val="single" w:sz="6" w:space="0" w:color="auto"/>
              <w:right w:val="single" w:sz="6" w:space="0" w:color="auto"/>
            </w:tcBorders>
          </w:tcPr>
          <w:p w14:paraId="59E4AB92"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12.7</w:t>
            </w:r>
          </w:p>
        </w:tc>
        <w:tc>
          <w:tcPr>
            <w:tcW w:w="974" w:type="dxa"/>
            <w:tcBorders>
              <w:top w:val="single" w:sz="6" w:space="0" w:color="auto"/>
              <w:left w:val="single" w:sz="6" w:space="0" w:color="auto"/>
              <w:bottom w:val="single" w:sz="6" w:space="0" w:color="auto"/>
              <w:right w:val="single" w:sz="6" w:space="0" w:color="auto"/>
            </w:tcBorders>
          </w:tcPr>
          <w:p w14:paraId="3496D442"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14.0</w:t>
            </w:r>
          </w:p>
        </w:tc>
      </w:tr>
      <w:tr w:rsidR="003E49EB" w:rsidRPr="00392E0D" w14:paraId="23C15018"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245EB5BC"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5 (least disadvantaged)</w:t>
            </w:r>
          </w:p>
        </w:tc>
        <w:tc>
          <w:tcPr>
            <w:tcW w:w="974" w:type="dxa"/>
            <w:tcBorders>
              <w:top w:val="single" w:sz="6" w:space="0" w:color="auto"/>
              <w:left w:val="single" w:sz="6" w:space="0" w:color="auto"/>
              <w:bottom w:val="single" w:sz="6" w:space="0" w:color="auto"/>
              <w:right w:val="single" w:sz="6" w:space="0" w:color="auto"/>
            </w:tcBorders>
          </w:tcPr>
          <w:p w14:paraId="606EC5C9"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w:t>
            </w:r>
          </w:p>
        </w:tc>
        <w:tc>
          <w:tcPr>
            <w:tcW w:w="975" w:type="dxa"/>
            <w:tcBorders>
              <w:top w:val="single" w:sz="6" w:space="0" w:color="auto"/>
              <w:left w:val="single" w:sz="6" w:space="0" w:color="auto"/>
              <w:bottom w:val="single" w:sz="6" w:space="0" w:color="auto"/>
              <w:right w:val="single" w:sz="6" w:space="0" w:color="auto"/>
            </w:tcBorders>
          </w:tcPr>
          <w:p w14:paraId="14A69DB8"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w:t>
            </w:r>
          </w:p>
        </w:tc>
        <w:tc>
          <w:tcPr>
            <w:tcW w:w="974" w:type="dxa"/>
            <w:tcBorders>
              <w:top w:val="single" w:sz="6" w:space="0" w:color="auto"/>
              <w:left w:val="single" w:sz="6" w:space="0" w:color="auto"/>
              <w:bottom w:val="single" w:sz="6" w:space="0" w:color="auto"/>
              <w:right w:val="single" w:sz="6" w:space="0" w:color="auto"/>
            </w:tcBorders>
          </w:tcPr>
          <w:p w14:paraId="56FD4C52"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w:t>
            </w:r>
          </w:p>
        </w:tc>
        <w:tc>
          <w:tcPr>
            <w:tcW w:w="975" w:type="dxa"/>
            <w:tcBorders>
              <w:top w:val="single" w:sz="6" w:space="0" w:color="auto"/>
              <w:left w:val="single" w:sz="6" w:space="0" w:color="auto"/>
              <w:bottom w:val="single" w:sz="6" w:space="0" w:color="auto"/>
              <w:right w:val="single" w:sz="6" w:space="0" w:color="auto"/>
            </w:tcBorders>
          </w:tcPr>
          <w:p w14:paraId="4E65D3A2"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w:t>
            </w:r>
          </w:p>
        </w:tc>
        <w:tc>
          <w:tcPr>
            <w:tcW w:w="974" w:type="dxa"/>
            <w:tcBorders>
              <w:top w:val="single" w:sz="6" w:space="0" w:color="auto"/>
              <w:left w:val="single" w:sz="6" w:space="0" w:color="auto"/>
              <w:bottom w:val="single" w:sz="6" w:space="0" w:color="auto"/>
              <w:right w:val="single" w:sz="6" w:space="0" w:color="auto"/>
            </w:tcBorders>
          </w:tcPr>
          <w:p w14:paraId="3374D2A2"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w:t>
            </w:r>
          </w:p>
        </w:tc>
      </w:tr>
    </w:tbl>
    <w:p w14:paraId="12F23689" w14:textId="1F4C1397" w:rsidR="003E49EB" w:rsidRPr="00392E0D" w:rsidRDefault="003E49EB" w:rsidP="00385292">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31</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Communication skills and general knowledge domain, by </w:t>
      </w:r>
      <w:proofErr w:type="spellStart"/>
      <w:r w:rsidRPr="00392E0D">
        <w:rPr>
          <w:rFonts w:eastAsiaTheme="minorHAnsi" w:cs="Arial"/>
          <w:lang w:val="en-AU"/>
        </w:rPr>
        <w:t>SEIFA</w:t>
      </w:r>
      <w:proofErr w:type="spellEnd"/>
      <w:r w:rsidRPr="00392E0D">
        <w:rPr>
          <w:rFonts w:eastAsiaTheme="minorHAnsi" w:cs="Arial"/>
          <w:lang w:val="en-AU"/>
        </w:rPr>
        <w:t xml:space="preserve"> quintile</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3E49EB" w:rsidRPr="00392E0D" w14:paraId="3A15C2A8" w14:textId="77777777" w:rsidTr="00385292">
        <w:trPr>
          <w:trHeight w:val="287"/>
          <w:tblHeader/>
        </w:trPr>
        <w:tc>
          <w:tcPr>
            <w:tcW w:w="3774" w:type="dxa"/>
            <w:tcBorders>
              <w:top w:val="single" w:sz="6" w:space="0" w:color="auto"/>
              <w:left w:val="single" w:sz="6" w:space="0" w:color="auto"/>
              <w:bottom w:val="single" w:sz="6" w:space="0" w:color="auto"/>
              <w:right w:val="single" w:sz="6" w:space="0" w:color="auto"/>
            </w:tcBorders>
          </w:tcPr>
          <w:p w14:paraId="53CBD8D0"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4E498053"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74CCC50B"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6EB02F7A"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781A5E8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26A8F041"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3E49EB" w:rsidRPr="00392E0D" w14:paraId="66FBF25C"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6FD98716"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1 (most disadvantaged)</w:t>
            </w:r>
          </w:p>
        </w:tc>
        <w:tc>
          <w:tcPr>
            <w:tcW w:w="974" w:type="dxa"/>
            <w:tcBorders>
              <w:top w:val="single" w:sz="6" w:space="0" w:color="auto"/>
              <w:left w:val="single" w:sz="6" w:space="0" w:color="auto"/>
              <w:bottom w:val="single" w:sz="6" w:space="0" w:color="auto"/>
              <w:right w:val="single" w:sz="6" w:space="0" w:color="auto"/>
            </w:tcBorders>
          </w:tcPr>
          <w:p w14:paraId="072051F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14.1</w:t>
            </w:r>
          </w:p>
        </w:tc>
        <w:tc>
          <w:tcPr>
            <w:tcW w:w="975" w:type="dxa"/>
            <w:tcBorders>
              <w:top w:val="single" w:sz="6" w:space="0" w:color="auto"/>
              <w:left w:val="single" w:sz="6" w:space="0" w:color="auto"/>
              <w:bottom w:val="single" w:sz="6" w:space="0" w:color="auto"/>
              <w:right w:val="single" w:sz="6" w:space="0" w:color="auto"/>
            </w:tcBorders>
          </w:tcPr>
          <w:p w14:paraId="7DF4B3F6"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15.3</w:t>
            </w:r>
          </w:p>
        </w:tc>
        <w:tc>
          <w:tcPr>
            <w:tcW w:w="974" w:type="dxa"/>
            <w:tcBorders>
              <w:top w:val="single" w:sz="6" w:space="0" w:color="auto"/>
              <w:left w:val="single" w:sz="6" w:space="0" w:color="auto"/>
              <w:bottom w:val="single" w:sz="6" w:space="0" w:color="auto"/>
              <w:right w:val="single" w:sz="6" w:space="0" w:color="auto"/>
            </w:tcBorders>
          </w:tcPr>
          <w:p w14:paraId="2FA8D8A8"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14.7</w:t>
            </w:r>
          </w:p>
        </w:tc>
        <w:tc>
          <w:tcPr>
            <w:tcW w:w="975" w:type="dxa"/>
            <w:tcBorders>
              <w:top w:val="single" w:sz="6" w:space="0" w:color="auto"/>
              <w:left w:val="single" w:sz="6" w:space="0" w:color="auto"/>
              <w:bottom w:val="single" w:sz="6" w:space="0" w:color="auto"/>
              <w:right w:val="single" w:sz="6" w:space="0" w:color="auto"/>
            </w:tcBorders>
          </w:tcPr>
          <w:p w14:paraId="7B8C7B45"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14.5</w:t>
            </w:r>
          </w:p>
        </w:tc>
        <w:tc>
          <w:tcPr>
            <w:tcW w:w="974" w:type="dxa"/>
            <w:tcBorders>
              <w:top w:val="single" w:sz="6" w:space="0" w:color="auto"/>
              <w:left w:val="single" w:sz="6" w:space="0" w:color="auto"/>
              <w:bottom w:val="single" w:sz="6" w:space="0" w:color="auto"/>
              <w:right w:val="single" w:sz="6" w:space="0" w:color="auto"/>
            </w:tcBorders>
          </w:tcPr>
          <w:p w14:paraId="576208E4" w14:textId="77777777" w:rsidR="003E49EB" w:rsidRPr="00392E0D" w:rsidRDefault="003E49EB" w:rsidP="003E49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14.5</w:t>
            </w:r>
          </w:p>
        </w:tc>
      </w:tr>
      <w:tr w:rsidR="003E49EB" w:rsidRPr="00392E0D" w14:paraId="0BD07269" w14:textId="77777777" w:rsidTr="003E49EB">
        <w:trPr>
          <w:trHeight w:val="287"/>
        </w:trPr>
        <w:tc>
          <w:tcPr>
            <w:tcW w:w="3774" w:type="dxa"/>
            <w:tcBorders>
              <w:top w:val="single" w:sz="6" w:space="0" w:color="auto"/>
              <w:left w:val="single" w:sz="6" w:space="0" w:color="auto"/>
              <w:bottom w:val="single" w:sz="6" w:space="0" w:color="auto"/>
              <w:right w:val="single" w:sz="6" w:space="0" w:color="auto"/>
            </w:tcBorders>
          </w:tcPr>
          <w:p w14:paraId="6A8DA3F6" w14:textId="77777777" w:rsidR="003E49EB" w:rsidRPr="00392E0D" w:rsidRDefault="003E49EB" w:rsidP="003E49E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Quintile 5 (least disadvantaged)</w:t>
            </w:r>
          </w:p>
        </w:tc>
        <w:tc>
          <w:tcPr>
            <w:tcW w:w="974" w:type="dxa"/>
            <w:tcBorders>
              <w:top w:val="single" w:sz="6" w:space="0" w:color="auto"/>
              <w:left w:val="single" w:sz="6" w:space="0" w:color="auto"/>
              <w:bottom w:val="single" w:sz="6" w:space="0" w:color="auto"/>
              <w:right w:val="single" w:sz="6" w:space="0" w:color="auto"/>
            </w:tcBorders>
          </w:tcPr>
          <w:p w14:paraId="56D80DD3"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w:t>
            </w:r>
          </w:p>
        </w:tc>
        <w:tc>
          <w:tcPr>
            <w:tcW w:w="975" w:type="dxa"/>
            <w:tcBorders>
              <w:top w:val="single" w:sz="6" w:space="0" w:color="auto"/>
              <w:left w:val="single" w:sz="6" w:space="0" w:color="auto"/>
              <w:bottom w:val="single" w:sz="6" w:space="0" w:color="auto"/>
              <w:right w:val="single" w:sz="6" w:space="0" w:color="auto"/>
            </w:tcBorders>
          </w:tcPr>
          <w:p w14:paraId="3997425A"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w:t>
            </w:r>
          </w:p>
        </w:tc>
        <w:tc>
          <w:tcPr>
            <w:tcW w:w="974" w:type="dxa"/>
            <w:tcBorders>
              <w:top w:val="single" w:sz="6" w:space="0" w:color="auto"/>
              <w:left w:val="single" w:sz="6" w:space="0" w:color="auto"/>
              <w:bottom w:val="single" w:sz="6" w:space="0" w:color="auto"/>
              <w:right w:val="single" w:sz="6" w:space="0" w:color="auto"/>
            </w:tcBorders>
          </w:tcPr>
          <w:p w14:paraId="7AD94358"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w:t>
            </w:r>
          </w:p>
        </w:tc>
        <w:tc>
          <w:tcPr>
            <w:tcW w:w="975" w:type="dxa"/>
            <w:tcBorders>
              <w:top w:val="single" w:sz="6" w:space="0" w:color="auto"/>
              <w:left w:val="single" w:sz="6" w:space="0" w:color="auto"/>
              <w:bottom w:val="single" w:sz="6" w:space="0" w:color="auto"/>
              <w:right w:val="single" w:sz="6" w:space="0" w:color="auto"/>
            </w:tcBorders>
          </w:tcPr>
          <w:p w14:paraId="7BF98033"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w:t>
            </w:r>
          </w:p>
        </w:tc>
        <w:tc>
          <w:tcPr>
            <w:tcW w:w="974" w:type="dxa"/>
            <w:tcBorders>
              <w:top w:val="single" w:sz="6" w:space="0" w:color="auto"/>
              <w:left w:val="single" w:sz="6" w:space="0" w:color="auto"/>
              <w:bottom w:val="single" w:sz="6" w:space="0" w:color="auto"/>
              <w:right w:val="single" w:sz="6" w:space="0" w:color="auto"/>
            </w:tcBorders>
          </w:tcPr>
          <w:p w14:paraId="2DB820D6" w14:textId="77777777" w:rsidR="003E49EB" w:rsidRPr="00392E0D" w:rsidRDefault="003E49EB" w:rsidP="00385292">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w:t>
            </w:r>
          </w:p>
        </w:tc>
      </w:tr>
    </w:tbl>
    <w:p w14:paraId="6D55D2C8" w14:textId="77777777" w:rsidR="00504652" w:rsidRPr="00392E0D" w:rsidRDefault="00504652">
      <w:pPr>
        <w:widowControl/>
        <w:autoSpaceDE/>
        <w:autoSpaceDN/>
        <w:rPr>
          <w:rFonts w:ascii="Arial" w:eastAsia="Times New Roman" w:hAnsi="Arial" w:cs="Arial"/>
          <w:sz w:val="21"/>
          <w:szCs w:val="20"/>
        </w:rPr>
      </w:pPr>
      <w:r w:rsidRPr="00392E0D">
        <w:rPr>
          <w:rFonts w:ascii="Arial" w:hAnsi="Arial" w:cs="Arial"/>
        </w:rPr>
        <w:br w:type="page"/>
      </w:r>
    </w:p>
    <w:p w14:paraId="24376DAF" w14:textId="1215F49C" w:rsidR="002A0592" w:rsidRPr="00392E0D" w:rsidRDefault="00504652" w:rsidP="001E1A5B">
      <w:pPr>
        <w:pStyle w:val="Heading1"/>
        <w:rPr>
          <w:rFonts w:cs="Arial"/>
        </w:rPr>
      </w:pPr>
      <w:bookmarkStart w:id="11" w:name="_Toc99530574"/>
      <w:r w:rsidRPr="00392E0D">
        <w:rPr>
          <w:rFonts w:cs="Arial"/>
        </w:rPr>
        <w:lastRenderedPageBreak/>
        <w:t>Language diversity (</w:t>
      </w:r>
      <w:proofErr w:type="spellStart"/>
      <w:r w:rsidRPr="00392E0D">
        <w:rPr>
          <w:rFonts w:cs="Arial"/>
        </w:rPr>
        <w:t>LBOTE</w:t>
      </w:r>
      <w:proofErr w:type="spellEnd"/>
      <w:r w:rsidRPr="00392E0D">
        <w:rPr>
          <w:rFonts w:cs="Arial"/>
        </w:rPr>
        <w:t>)</w:t>
      </w:r>
      <w:bookmarkEnd w:id="11"/>
    </w:p>
    <w:p w14:paraId="01AA51F1" w14:textId="77777777" w:rsidR="00504652" w:rsidRPr="00392E0D" w:rsidRDefault="00504652" w:rsidP="00504652">
      <w:pPr>
        <w:pStyle w:val="Body"/>
        <w:rPr>
          <w:rFonts w:cs="Arial"/>
        </w:rPr>
      </w:pPr>
      <w:r w:rsidRPr="00392E0D">
        <w:rPr>
          <w:rFonts w:cs="Arial"/>
        </w:rPr>
        <w:t>In 2021, 26.8 per cent of children in the AEDC were classified as having a language background other than English (</w:t>
      </w:r>
      <w:proofErr w:type="spellStart"/>
      <w:r w:rsidRPr="00392E0D">
        <w:rPr>
          <w:rFonts w:cs="Arial"/>
        </w:rPr>
        <w:t>LBOTE</w:t>
      </w:r>
      <w:proofErr w:type="spellEnd"/>
      <w:r w:rsidRPr="00392E0D">
        <w:rPr>
          <w:rFonts w:cs="Arial"/>
        </w:rPr>
        <w:t>). This figure has steadily increased in each collection since 2009 (18.0 per cent).</w:t>
      </w:r>
    </w:p>
    <w:p w14:paraId="37A3D537" w14:textId="77777777" w:rsidR="00504652" w:rsidRPr="00392E0D" w:rsidRDefault="00504652" w:rsidP="00504652">
      <w:pPr>
        <w:pStyle w:val="Heading2"/>
        <w:rPr>
          <w:rFonts w:cs="Arial"/>
        </w:rPr>
      </w:pPr>
      <w:r w:rsidRPr="00392E0D">
        <w:rPr>
          <w:rFonts w:cs="Arial"/>
        </w:rPr>
        <w:t>Summary indicators</w:t>
      </w:r>
    </w:p>
    <w:p w14:paraId="2125ED58" w14:textId="6B253D16" w:rsidR="00504652" w:rsidRPr="00392E0D" w:rsidRDefault="00504652" w:rsidP="00504652">
      <w:pPr>
        <w:pStyle w:val="Body"/>
        <w:rPr>
          <w:rFonts w:cs="Arial"/>
        </w:rPr>
      </w:pPr>
      <w:r w:rsidRPr="00392E0D">
        <w:rPr>
          <w:rFonts w:cs="Arial"/>
        </w:rPr>
        <w:t xml:space="preserve">The gap between children with a </w:t>
      </w:r>
      <w:proofErr w:type="spellStart"/>
      <w:r w:rsidRPr="00392E0D">
        <w:rPr>
          <w:rFonts w:cs="Arial"/>
        </w:rPr>
        <w:t>LBOTE</w:t>
      </w:r>
      <w:proofErr w:type="spellEnd"/>
      <w:r w:rsidRPr="00392E0D">
        <w:rPr>
          <w:rFonts w:cs="Arial"/>
        </w:rPr>
        <w:t xml:space="preserve"> and children with an English only background who are developmentally vulnerable on one or more domain(s) and two or more domains has steadily narrowed since baseline. This has mostly been due to decreasing vulnerability among children with a </w:t>
      </w:r>
      <w:proofErr w:type="spellStart"/>
      <w:r w:rsidRPr="00392E0D">
        <w:rPr>
          <w:rFonts w:cs="Arial"/>
        </w:rPr>
        <w:t>LBOTE</w:t>
      </w:r>
      <w:proofErr w:type="spellEnd"/>
      <w:r w:rsidRPr="00392E0D">
        <w:rPr>
          <w:rFonts w:cs="Arial"/>
        </w:rPr>
        <w:t xml:space="preserve">, although, in 2021, the percentage of children with a </w:t>
      </w:r>
      <w:proofErr w:type="spellStart"/>
      <w:r w:rsidRPr="00392E0D">
        <w:rPr>
          <w:rFonts w:cs="Arial"/>
        </w:rPr>
        <w:t>LBOTE</w:t>
      </w:r>
      <w:proofErr w:type="spellEnd"/>
      <w:r w:rsidRPr="00392E0D">
        <w:rPr>
          <w:rFonts w:cs="Arial"/>
        </w:rPr>
        <w:t xml:space="preserve"> who were developmentally vulnerable on two or more domains remained unchanged from 2018 yet increased by 0.3 percentage points among children with an English only background.</w:t>
      </w:r>
    </w:p>
    <w:p w14:paraId="1E3067AD" w14:textId="413F6F50" w:rsidR="00504652" w:rsidRPr="00392E0D" w:rsidRDefault="00504652" w:rsidP="00504652">
      <w:pPr>
        <w:pStyle w:val="Body"/>
        <w:rPr>
          <w:rFonts w:cs="Arial"/>
        </w:rPr>
      </w:pPr>
      <w:r w:rsidRPr="00392E0D">
        <w:rPr>
          <w:rFonts w:cs="Arial"/>
        </w:rPr>
        <w:t xml:space="preserve">A similar trend can be seen in the on track on five domains summary indicator. The gap between children with a </w:t>
      </w:r>
      <w:proofErr w:type="spellStart"/>
      <w:r w:rsidRPr="00392E0D">
        <w:rPr>
          <w:rFonts w:cs="Arial"/>
        </w:rPr>
        <w:t>LBOTE</w:t>
      </w:r>
      <w:proofErr w:type="spellEnd"/>
      <w:r w:rsidRPr="00392E0D">
        <w:rPr>
          <w:rFonts w:cs="Arial"/>
        </w:rPr>
        <w:t xml:space="preserve"> and children with an English only background who are developmentally on track on five domains has been slowly narrowing since baseline, due to a sharper incline among children with a </w:t>
      </w:r>
      <w:proofErr w:type="spellStart"/>
      <w:r w:rsidRPr="00392E0D">
        <w:rPr>
          <w:rFonts w:cs="Arial"/>
        </w:rPr>
        <w:t>LBOTE</w:t>
      </w:r>
      <w:proofErr w:type="spellEnd"/>
      <w:r w:rsidRPr="00392E0D">
        <w:rPr>
          <w:rFonts w:cs="Arial"/>
        </w:rPr>
        <w:t xml:space="preserve"> compared to children with an English only background. In 2021, the percentage of children with a </w:t>
      </w:r>
      <w:proofErr w:type="spellStart"/>
      <w:r w:rsidRPr="00392E0D">
        <w:rPr>
          <w:rFonts w:cs="Arial"/>
        </w:rPr>
        <w:t>LBOTE</w:t>
      </w:r>
      <w:proofErr w:type="spellEnd"/>
      <w:r w:rsidRPr="00392E0D">
        <w:rPr>
          <w:rFonts w:cs="Arial"/>
        </w:rPr>
        <w:t xml:space="preserve"> who were developmentally on track on five domains increased by 0.3 percentage points, whereas it declined for the first time since baseline among children with an English only background, by 0.8 percentage points.</w:t>
      </w:r>
    </w:p>
    <w:p w14:paraId="7C606728" w14:textId="77777777" w:rsidR="00504652" w:rsidRPr="00392E0D" w:rsidRDefault="00504652" w:rsidP="00504652">
      <w:pPr>
        <w:pStyle w:val="Heading2"/>
        <w:rPr>
          <w:rFonts w:cs="Arial"/>
        </w:rPr>
      </w:pPr>
      <w:r w:rsidRPr="00392E0D">
        <w:rPr>
          <w:rFonts w:cs="Arial"/>
        </w:rPr>
        <w:t>Results by domain</w:t>
      </w:r>
    </w:p>
    <w:p w14:paraId="70F1F248" w14:textId="23335809" w:rsidR="00504652" w:rsidRPr="00392E0D" w:rsidRDefault="00504652" w:rsidP="00504652">
      <w:pPr>
        <w:pStyle w:val="Body"/>
        <w:rPr>
          <w:rFonts w:cs="Arial"/>
        </w:rPr>
      </w:pPr>
      <w:r w:rsidRPr="00392E0D">
        <w:rPr>
          <w:rFonts w:cs="Arial"/>
        </w:rPr>
        <w:t xml:space="preserve">The gap between children with a </w:t>
      </w:r>
      <w:proofErr w:type="spellStart"/>
      <w:r w:rsidRPr="00392E0D">
        <w:rPr>
          <w:rFonts w:cs="Arial"/>
        </w:rPr>
        <w:t>LBOTE</w:t>
      </w:r>
      <w:proofErr w:type="spellEnd"/>
      <w:r w:rsidRPr="00392E0D">
        <w:rPr>
          <w:rFonts w:cs="Arial"/>
        </w:rPr>
        <w:t xml:space="preserve"> and children with an English only background has continued to narrow on all domains since baseline. In 2021 (and since 2018), children with a </w:t>
      </w:r>
      <w:proofErr w:type="spellStart"/>
      <w:r w:rsidRPr="00392E0D">
        <w:rPr>
          <w:rFonts w:cs="Arial"/>
        </w:rPr>
        <w:t>LBOTE</w:t>
      </w:r>
      <w:proofErr w:type="spellEnd"/>
      <w:r w:rsidRPr="00392E0D">
        <w:rPr>
          <w:rFonts w:cs="Arial"/>
        </w:rPr>
        <w:t xml:space="preserve"> were less vulnerable than children with an English only background on the physical health and wellbeing domain and the emotional maturity domain.</w:t>
      </w:r>
    </w:p>
    <w:p w14:paraId="571C9694" w14:textId="3C5EB680" w:rsidR="00504652" w:rsidRPr="00392E0D" w:rsidRDefault="00504652" w:rsidP="00504652">
      <w:pPr>
        <w:pStyle w:val="Body"/>
        <w:rPr>
          <w:rFonts w:cs="Arial"/>
        </w:rPr>
      </w:pPr>
      <w:r w:rsidRPr="00392E0D">
        <w:rPr>
          <w:rFonts w:cs="Arial"/>
        </w:rPr>
        <w:t xml:space="preserve">Vulnerability on the language and cognitive domain increased for both children with a </w:t>
      </w:r>
      <w:proofErr w:type="spellStart"/>
      <w:r w:rsidRPr="00392E0D">
        <w:rPr>
          <w:rFonts w:cs="Arial"/>
        </w:rPr>
        <w:t>LBOTE</w:t>
      </w:r>
      <w:proofErr w:type="spellEnd"/>
      <w:r w:rsidRPr="00392E0D">
        <w:rPr>
          <w:rFonts w:cs="Arial"/>
        </w:rPr>
        <w:t xml:space="preserve"> and children with an English only background in 2021, although the increase was less marked for children with a </w:t>
      </w:r>
      <w:proofErr w:type="spellStart"/>
      <w:r w:rsidRPr="00392E0D">
        <w:rPr>
          <w:rFonts w:cs="Arial"/>
        </w:rPr>
        <w:t>LBOTE</w:t>
      </w:r>
      <w:proofErr w:type="spellEnd"/>
      <w:r w:rsidRPr="00392E0D">
        <w:rPr>
          <w:rFonts w:cs="Arial"/>
        </w:rPr>
        <w:t xml:space="preserve"> and children with an English only background (0.3 vs 0.8 percentage points respectively).</w:t>
      </w:r>
    </w:p>
    <w:p w14:paraId="7EC98B85" w14:textId="77777777" w:rsidR="00504652" w:rsidRPr="00392E0D" w:rsidRDefault="00504652" w:rsidP="00504652">
      <w:pPr>
        <w:pStyle w:val="Body"/>
        <w:rPr>
          <w:rFonts w:cs="Arial"/>
        </w:rPr>
      </w:pPr>
      <w:r w:rsidRPr="00392E0D">
        <w:rPr>
          <w:rFonts w:cs="Arial"/>
        </w:rPr>
        <w:t xml:space="preserve">There was small but continued improvement for children with a </w:t>
      </w:r>
      <w:proofErr w:type="spellStart"/>
      <w:r w:rsidRPr="00392E0D">
        <w:rPr>
          <w:rFonts w:cs="Arial"/>
        </w:rPr>
        <w:t>LBOTE</w:t>
      </w:r>
      <w:proofErr w:type="spellEnd"/>
      <w:r w:rsidRPr="00392E0D">
        <w:rPr>
          <w:rFonts w:cs="Arial"/>
        </w:rPr>
        <w:t xml:space="preserve"> on the social competence domain in 2021, decreasing vulnerability by a further 0.3 percentage points, 1.2 percentage points lower than in 2015. Vulnerability among children with an English only background remained relatively steady over this same period.</w:t>
      </w:r>
    </w:p>
    <w:p w14:paraId="6F55B91E" w14:textId="1A37D6BE" w:rsidR="00504652" w:rsidRPr="00392E0D" w:rsidRDefault="00504652" w:rsidP="00504652">
      <w:pPr>
        <w:pStyle w:val="Body"/>
        <w:rPr>
          <w:rFonts w:cs="Arial"/>
        </w:rPr>
      </w:pPr>
      <w:r w:rsidRPr="00392E0D">
        <w:rPr>
          <w:rFonts w:cs="Arial"/>
        </w:rPr>
        <w:t xml:space="preserve">Despite good improvements since baseline, children with a </w:t>
      </w:r>
      <w:proofErr w:type="spellStart"/>
      <w:r w:rsidRPr="00392E0D">
        <w:rPr>
          <w:rFonts w:cs="Arial"/>
        </w:rPr>
        <w:t>LBOTE</w:t>
      </w:r>
      <w:proofErr w:type="spellEnd"/>
      <w:r w:rsidRPr="00392E0D">
        <w:rPr>
          <w:rFonts w:cs="Arial"/>
        </w:rPr>
        <w:t xml:space="preserve"> are still 2.3 times more likely to be developmentally vulnerable in the communication and general knowledge domain than children with an English only background (14.3 per cent compared with 6.2 per cent respectively).</w:t>
      </w:r>
    </w:p>
    <w:p w14:paraId="6B36065F" w14:textId="2FB24FE0" w:rsidR="00881BC9" w:rsidRPr="00392E0D" w:rsidRDefault="00881BC9" w:rsidP="00881BC9">
      <w:pPr>
        <w:pStyle w:val="Heading2"/>
        <w:rPr>
          <w:rFonts w:cs="Arial"/>
        </w:rPr>
      </w:pPr>
      <w:r w:rsidRPr="00392E0D">
        <w:rPr>
          <w:rFonts w:cs="Arial"/>
        </w:rPr>
        <w:t xml:space="preserve">Summary indicators by </w:t>
      </w:r>
      <w:proofErr w:type="spellStart"/>
      <w:r w:rsidRPr="00392E0D">
        <w:rPr>
          <w:rFonts w:cs="Arial"/>
        </w:rPr>
        <w:t>LBOTE</w:t>
      </w:r>
      <w:proofErr w:type="spellEnd"/>
      <w:r w:rsidRPr="00392E0D">
        <w:rPr>
          <w:rFonts w:cs="Arial"/>
        </w:rPr>
        <w:t xml:space="preserve"> status</w:t>
      </w:r>
    </w:p>
    <w:p w14:paraId="01A5BBD2" w14:textId="139A1D4C" w:rsidR="00FD37AF" w:rsidRPr="00392E0D" w:rsidRDefault="00FD37AF" w:rsidP="00FD37AF">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32</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one or more domain(s) by </w:t>
      </w:r>
      <w:proofErr w:type="spellStart"/>
      <w:r w:rsidRPr="00392E0D">
        <w:rPr>
          <w:rFonts w:eastAsiaTheme="minorHAnsi" w:cs="Arial"/>
          <w:lang w:val="en-AU"/>
        </w:rPr>
        <w:t>LBOTE</w:t>
      </w:r>
      <w:proofErr w:type="spellEnd"/>
      <w:r w:rsidRPr="00392E0D">
        <w:rPr>
          <w:rFonts w:eastAsiaTheme="minorHAnsi" w:cs="Arial"/>
          <w:lang w:val="en-AU"/>
        </w:rPr>
        <w:t xml:space="preserve"> status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FD37AF" w:rsidRPr="00392E0D" w14:paraId="31C7BACE" w14:textId="77777777" w:rsidTr="008872D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07E2B2C4" w14:textId="77777777" w:rsidR="00FD37AF" w:rsidRPr="00392E0D" w:rsidRDefault="00FD37AF" w:rsidP="00FD37AF">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1EF0CA51"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168E5959"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6E066F97"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07F3DFE8"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31E17810"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FD37AF" w:rsidRPr="00392E0D" w14:paraId="4ACE57B6" w14:textId="77777777" w:rsidTr="00FD37AF">
        <w:trPr>
          <w:trHeight w:val="287"/>
        </w:trPr>
        <w:tc>
          <w:tcPr>
            <w:tcW w:w="3774" w:type="dxa"/>
            <w:tcBorders>
              <w:top w:val="single" w:sz="6" w:space="0" w:color="auto"/>
              <w:left w:val="single" w:sz="6" w:space="0" w:color="auto"/>
              <w:bottom w:val="single" w:sz="6" w:space="0" w:color="auto"/>
              <w:right w:val="single" w:sz="6" w:space="0" w:color="auto"/>
            </w:tcBorders>
          </w:tcPr>
          <w:p w14:paraId="56564521" w14:textId="77777777" w:rsidR="00FD37AF" w:rsidRPr="00392E0D" w:rsidRDefault="00FD37AF" w:rsidP="00FD37AF">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p>
        </w:tc>
        <w:tc>
          <w:tcPr>
            <w:tcW w:w="974" w:type="dxa"/>
            <w:tcBorders>
              <w:top w:val="single" w:sz="6" w:space="0" w:color="auto"/>
              <w:left w:val="single" w:sz="6" w:space="0" w:color="auto"/>
              <w:bottom w:val="single" w:sz="6" w:space="0" w:color="auto"/>
              <w:right w:val="single" w:sz="6" w:space="0" w:color="auto"/>
            </w:tcBorders>
          </w:tcPr>
          <w:p w14:paraId="46A6EA17"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32.2</w:t>
            </w:r>
          </w:p>
        </w:tc>
        <w:tc>
          <w:tcPr>
            <w:tcW w:w="975" w:type="dxa"/>
            <w:tcBorders>
              <w:top w:val="single" w:sz="6" w:space="0" w:color="auto"/>
              <w:left w:val="single" w:sz="6" w:space="0" w:color="auto"/>
              <w:bottom w:val="single" w:sz="6" w:space="0" w:color="auto"/>
              <w:right w:val="single" w:sz="6" w:space="0" w:color="auto"/>
            </w:tcBorders>
          </w:tcPr>
          <w:p w14:paraId="0C6F4BCD"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29.5</w:t>
            </w:r>
          </w:p>
        </w:tc>
        <w:tc>
          <w:tcPr>
            <w:tcW w:w="974" w:type="dxa"/>
            <w:tcBorders>
              <w:top w:val="single" w:sz="6" w:space="0" w:color="auto"/>
              <w:left w:val="single" w:sz="6" w:space="0" w:color="auto"/>
              <w:bottom w:val="single" w:sz="6" w:space="0" w:color="auto"/>
              <w:right w:val="single" w:sz="6" w:space="0" w:color="auto"/>
            </w:tcBorders>
          </w:tcPr>
          <w:p w14:paraId="24BBA9FA"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27.8</w:t>
            </w:r>
          </w:p>
        </w:tc>
        <w:tc>
          <w:tcPr>
            <w:tcW w:w="975" w:type="dxa"/>
            <w:tcBorders>
              <w:top w:val="single" w:sz="6" w:space="0" w:color="auto"/>
              <w:left w:val="single" w:sz="6" w:space="0" w:color="auto"/>
              <w:bottom w:val="single" w:sz="6" w:space="0" w:color="auto"/>
              <w:right w:val="single" w:sz="6" w:space="0" w:color="auto"/>
            </w:tcBorders>
          </w:tcPr>
          <w:p w14:paraId="4E749FA1"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25.7</w:t>
            </w:r>
          </w:p>
        </w:tc>
        <w:tc>
          <w:tcPr>
            <w:tcW w:w="974" w:type="dxa"/>
            <w:tcBorders>
              <w:top w:val="single" w:sz="6" w:space="0" w:color="auto"/>
              <w:left w:val="single" w:sz="6" w:space="0" w:color="auto"/>
              <w:bottom w:val="single" w:sz="6" w:space="0" w:color="auto"/>
              <w:right w:val="single" w:sz="6" w:space="0" w:color="auto"/>
            </w:tcBorders>
          </w:tcPr>
          <w:p w14:paraId="6B1CCC16"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25.3</w:t>
            </w:r>
          </w:p>
        </w:tc>
      </w:tr>
      <w:tr w:rsidR="00FD37AF" w:rsidRPr="00392E0D" w14:paraId="43A24C94" w14:textId="77777777" w:rsidTr="00FD37AF">
        <w:trPr>
          <w:trHeight w:val="287"/>
        </w:trPr>
        <w:tc>
          <w:tcPr>
            <w:tcW w:w="3774" w:type="dxa"/>
            <w:tcBorders>
              <w:top w:val="single" w:sz="6" w:space="0" w:color="auto"/>
              <w:left w:val="single" w:sz="6" w:space="0" w:color="auto"/>
              <w:bottom w:val="single" w:sz="6" w:space="0" w:color="auto"/>
              <w:right w:val="single" w:sz="6" w:space="0" w:color="auto"/>
            </w:tcBorders>
          </w:tcPr>
          <w:p w14:paraId="6907B45C" w14:textId="77777777" w:rsidR="00FD37AF" w:rsidRPr="00392E0D" w:rsidRDefault="00FD37AF" w:rsidP="00FD37AF">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w:t>
            </w:r>
          </w:p>
        </w:tc>
        <w:tc>
          <w:tcPr>
            <w:tcW w:w="974" w:type="dxa"/>
            <w:tcBorders>
              <w:top w:val="single" w:sz="6" w:space="0" w:color="auto"/>
              <w:left w:val="single" w:sz="6" w:space="0" w:color="auto"/>
              <w:bottom w:val="single" w:sz="6" w:space="0" w:color="auto"/>
              <w:right w:val="single" w:sz="6" w:space="0" w:color="auto"/>
            </w:tcBorders>
          </w:tcPr>
          <w:p w14:paraId="679F260E"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21.7</w:t>
            </w:r>
          </w:p>
        </w:tc>
        <w:tc>
          <w:tcPr>
            <w:tcW w:w="975" w:type="dxa"/>
            <w:tcBorders>
              <w:top w:val="single" w:sz="6" w:space="0" w:color="auto"/>
              <w:left w:val="single" w:sz="6" w:space="0" w:color="auto"/>
              <w:bottom w:val="single" w:sz="6" w:space="0" w:color="auto"/>
              <w:right w:val="single" w:sz="6" w:space="0" w:color="auto"/>
            </w:tcBorders>
          </w:tcPr>
          <w:p w14:paraId="5F83D1DB"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w:t>
            </w:r>
          </w:p>
        </w:tc>
        <w:tc>
          <w:tcPr>
            <w:tcW w:w="974" w:type="dxa"/>
            <w:tcBorders>
              <w:top w:val="single" w:sz="6" w:space="0" w:color="auto"/>
              <w:left w:val="single" w:sz="6" w:space="0" w:color="auto"/>
              <w:bottom w:val="single" w:sz="6" w:space="0" w:color="auto"/>
              <w:right w:val="single" w:sz="6" w:space="0" w:color="auto"/>
            </w:tcBorders>
          </w:tcPr>
          <w:p w14:paraId="5F16B88A"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20.4</w:t>
            </w:r>
          </w:p>
        </w:tc>
        <w:tc>
          <w:tcPr>
            <w:tcW w:w="975" w:type="dxa"/>
            <w:tcBorders>
              <w:top w:val="single" w:sz="6" w:space="0" w:color="auto"/>
              <w:left w:val="single" w:sz="6" w:space="0" w:color="auto"/>
              <w:bottom w:val="single" w:sz="6" w:space="0" w:color="auto"/>
              <w:right w:val="single" w:sz="6" w:space="0" w:color="auto"/>
            </w:tcBorders>
          </w:tcPr>
          <w:p w14:paraId="05B27B40"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20.3</w:t>
            </w:r>
          </w:p>
        </w:tc>
        <w:tc>
          <w:tcPr>
            <w:tcW w:w="974" w:type="dxa"/>
            <w:tcBorders>
              <w:top w:val="single" w:sz="6" w:space="0" w:color="auto"/>
              <w:left w:val="single" w:sz="6" w:space="0" w:color="auto"/>
              <w:bottom w:val="single" w:sz="6" w:space="0" w:color="auto"/>
              <w:right w:val="single" w:sz="6" w:space="0" w:color="auto"/>
            </w:tcBorders>
          </w:tcPr>
          <w:p w14:paraId="2B2EF60E"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20.8</w:t>
            </w:r>
          </w:p>
        </w:tc>
      </w:tr>
    </w:tbl>
    <w:p w14:paraId="178F1375" w14:textId="5D6103EB" w:rsidR="00FD37AF" w:rsidRPr="00392E0D" w:rsidRDefault="00FD37AF" w:rsidP="00FD37AF">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33</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two or more domains by </w:t>
      </w:r>
      <w:proofErr w:type="spellStart"/>
      <w:r w:rsidRPr="00392E0D">
        <w:rPr>
          <w:rFonts w:eastAsiaTheme="minorHAnsi" w:cs="Arial"/>
          <w:lang w:val="en-AU"/>
        </w:rPr>
        <w:t>LBOTE</w:t>
      </w:r>
      <w:proofErr w:type="spellEnd"/>
      <w:r w:rsidRPr="00392E0D">
        <w:rPr>
          <w:rFonts w:eastAsiaTheme="minorHAnsi" w:cs="Arial"/>
          <w:lang w:val="en-AU"/>
        </w:rPr>
        <w:t xml:space="preserve"> status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FD37AF" w:rsidRPr="00392E0D" w14:paraId="648B884B" w14:textId="77777777" w:rsidTr="008872D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78206E35" w14:textId="77777777" w:rsidR="00FD37AF" w:rsidRPr="00392E0D" w:rsidRDefault="00FD37AF" w:rsidP="00FD37AF">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0F30EDAE"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31ADA97"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1840BD68"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06AEFD80"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023FCC41"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FD37AF" w:rsidRPr="00392E0D" w14:paraId="76702AB1" w14:textId="77777777" w:rsidTr="00FD37AF">
        <w:trPr>
          <w:trHeight w:val="287"/>
        </w:trPr>
        <w:tc>
          <w:tcPr>
            <w:tcW w:w="3774" w:type="dxa"/>
            <w:tcBorders>
              <w:top w:val="single" w:sz="6" w:space="0" w:color="auto"/>
              <w:left w:val="single" w:sz="6" w:space="0" w:color="auto"/>
              <w:bottom w:val="single" w:sz="6" w:space="0" w:color="auto"/>
              <w:right w:val="single" w:sz="6" w:space="0" w:color="auto"/>
            </w:tcBorders>
          </w:tcPr>
          <w:p w14:paraId="57F8854E" w14:textId="77777777" w:rsidR="00FD37AF" w:rsidRPr="00392E0D" w:rsidRDefault="00FD37AF" w:rsidP="00FD37AF">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p>
        </w:tc>
        <w:tc>
          <w:tcPr>
            <w:tcW w:w="974" w:type="dxa"/>
            <w:tcBorders>
              <w:top w:val="single" w:sz="6" w:space="0" w:color="auto"/>
              <w:left w:val="single" w:sz="6" w:space="0" w:color="auto"/>
              <w:bottom w:val="single" w:sz="6" w:space="0" w:color="auto"/>
              <w:right w:val="single" w:sz="6" w:space="0" w:color="auto"/>
            </w:tcBorders>
          </w:tcPr>
          <w:p w14:paraId="741EECEE"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16.7</w:t>
            </w:r>
          </w:p>
        </w:tc>
        <w:tc>
          <w:tcPr>
            <w:tcW w:w="975" w:type="dxa"/>
            <w:tcBorders>
              <w:top w:val="single" w:sz="6" w:space="0" w:color="auto"/>
              <w:left w:val="single" w:sz="6" w:space="0" w:color="auto"/>
              <w:bottom w:val="single" w:sz="6" w:space="0" w:color="auto"/>
              <w:right w:val="single" w:sz="6" w:space="0" w:color="auto"/>
            </w:tcBorders>
          </w:tcPr>
          <w:p w14:paraId="6174605E"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14.6</w:t>
            </w:r>
          </w:p>
        </w:tc>
        <w:tc>
          <w:tcPr>
            <w:tcW w:w="974" w:type="dxa"/>
            <w:tcBorders>
              <w:top w:val="single" w:sz="6" w:space="0" w:color="auto"/>
              <w:left w:val="single" w:sz="6" w:space="0" w:color="auto"/>
              <w:bottom w:val="single" w:sz="6" w:space="0" w:color="auto"/>
              <w:right w:val="single" w:sz="6" w:space="0" w:color="auto"/>
            </w:tcBorders>
          </w:tcPr>
          <w:p w14:paraId="48A1E45E"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14.2</w:t>
            </w:r>
          </w:p>
        </w:tc>
        <w:tc>
          <w:tcPr>
            <w:tcW w:w="975" w:type="dxa"/>
            <w:tcBorders>
              <w:top w:val="single" w:sz="6" w:space="0" w:color="auto"/>
              <w:left w:val="single" w:sz="6" w:space="0" w:color="auto"/>
              <w:bottom w:val="single" w:sz="6" w:space="0" w:color="auto"/>
              <w:right w:val="single" w:sz="6" w:space="0" w:color="auto"/>
            </w:tcBorders>
          </w:tcPr>
          <w:p w14:paraId="05C2CB69"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13.1</w:t>
            </w:r>
          </w:p>
        </w:tc>
        <w:tc>
          <w:tcPr>
            <w:tcW w:w="974" w:type="dxa"/>
            <w:tcBorders>
              <w:top w:val="single" w:sz="6" w:space="0" w:color="auto"/>
              <w:left w:val="single" w:sz="6" w:space="0" w:color="auto"/>
              <w:bottom w:val="single" w:sz="6" w:space="0" w:color="auto"/>
              <w:right w:val="single" w:sz="6" w:space="0" w:color="auto"/>
            </w:tcBorders>
          </w:tcPr>
          <w:p w14:paraId="1D0225C8"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13.1</w:t>
            </w:r>
          </w:p>
        </w:tc>
      </w:tr>
      <w:tr w:rsidR="00FD37AF" w:rsidRPr="00392E0D" w14:paraId="0E39F569" w14:textId="77777777" w:rsidTr="00FD37AF">
        <w:trPr>
          <w:trHeight w:val="287"/>
        </w:trPr>
        <w:tc>
          <w:tcPr>
            <w:tcW w:w="3774" w:type="dxa"/>
            <w:tcBorders>
              <w:top w:val="single" w:sz="6" w:space="0" w:color="auto"/>
              <w:left w:val="single" w:sz="6" w:space="0" w:color="auto"/>
              <w:bottom w:val="single" w:sz="6" w:space="0" w:color="auto"/>
              <w:right w:val="single" w:sz="6" w:space="0" w:color="auto"/>
            </w:tcBorders>
          </w:tcPr>
          <w:p w14:paraId="4822BB9E" w14:textId="77777777" w:rsidR="00FD37AF" w:rsidRPr="00392E0D" w:rsidRDefault="00FD37AF" w:rsidP="00FD37AF">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w:t>
            </w:r>
          </w:p>
        </w:tc>
        <w:tc>
          <w:tcPr>
            <w:tcW w:w="974" w:type="dxa"/>
            <w:tcBorders>
              <w:top w:val="single" w:sz="6" w:space="0" w:color="auto"/>
              <w:left w:val="single" w:sz="6" w:space="0" w:color="auto"/>
              <w:bottom w:val="single" w:sz="6" w:space="0" w:color="auto"/>
              <w:right w:val="single" w:sz="6" w:space="0" w:color="auto"/>
            </w:tcBorders>
          </w:tcPr>
          <w:p w14:paraId="778464DA"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975" w:type="dxa"/>
            <w:tcBorders>
              <w:top w:val="single" w:sz="6" w:space="0" w:color="auto"/>
              <w:left w:val="single" w:sz="6" w:space="0" w:color="auto"/>
              <w:bottom w:val="single" w:sz="6" w:space="0" w:color="auto"/>
              <w:right w:val="single" w:sz="6" w:space="0" w:color="auto"/>
            </w:tcBorders>
          </w:tcPr>
          <w:p w14:paraId="2D1DF1D6" w14:textId="77777777" w:rsidR="00FD37AF" w:rsidRPr="00392E0D" w:rsidRDefault="00FD37AF" w:rsidP="00FD37AF">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974" w:type="dxa"/>
            <w:tcBorders>
              <w:top w:val="single" w:sz="6" w:space="0" w:color="auto"/>
              <w:left w:val="single" w:sz="6" w:space="0" w:color="auto"/>
              <w:bottom w:val="single" w:sz="6" w:space="0" w:color="auto"/>
              <w:right w:val="single" w:sz="6" w:space="0" w:color="auto"/>
            </w:tcBorders>
          </w:tcPr>
          <w:p w14:paraId="70D37548"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10.2</w:t>
            </w:r>
          </w:p>
        </w:tc>
        <w:tc>
          <w:tcPr>
            <w:tcW w:w="975" w:type="dxa"/>
            <w:tcBorders>
              <w:top w:val="single" w:sz="6" w:space="0" w:color="auto"/>
              <w:left w:val="single" w:sz="6" w:space="0" w:color="auto"/>
              <w:bottom w:val="single" w:sz="6" w:space="0" w:color="auto"/>
              <w:right w:val="single" w:sz="6" w:space="0" w:color="auto"/>
            </w:tcBorders>
          </w:tcPr>
          <w:p w14:paraId="7B47437D"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10.4</w:t>
            </w:r>
          </w:p>
        </w:tc>
        <w:tc>
          <w:tcPr>
            <w:tcW w:w="974" w:type="dxa"/>
            <w:tcBorders>
              <w:top w:val="single" w:sz="6" w:space="0" w:color="auto"/>
              <w:left w:val="single" w:sz="6" w:space="0" w:color="auto"/>
              <w:bottom w:val="single" w:sz="6" w:space="0" w:color="auto"/>
              <w:right w:val="single" w:sz="6" w:space="0" w:color="auto"/>
            </w:tcBorders>
          </w:tcPr>
          <w:p w14:paraId="77F507D2"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10.7</w:t>
            </w:r>
          </w:p>
        </w:tc>
      </w:tr>
    </w:tbl>
    <w:p w14:paraId="6BB273D7" w14:textId="77777777" w:rsidR="00881BC9" w:rsidRPr="00392E0D" w:rsidRDefault="00881BC9">
      <w:pPr>
        <w:widowControl/>
        <w:autoSpaceDE/>
        <w:autoSpaceDN/>
        <w:rPr>
          <w:rFonts w:ascii="Arial" w:eastAsia="Times New Roman" w:hAnsi="Arial" w:cs="Arial"/>
          <w:color w:val="000000" w:themeColor="text1"/>
          <w:szCs w:val="18"/>
        </w:rPr>
      </w:pPr>
      <w:r w:rsidRPr="00392E0D">
        <w:rPr>
          <w:rFonts w:ascii="Arial" w:eastAsia="Times New Roman" w:hAnsi="Arial" w:cs="Arial"/>
          <w:color w:val="000000" w:themeColor="text1"/>
          <w:szCs w:val="18"/>
        </w:rPr>
        <w:br w:type="page"/>
      </w:r>
    </w:p>
    <w:p w14:paraId="033BBDB1" w14:textId="32133D6E" w:rsidR="00FD37AF" w:rsidRPr="00392E0D" w:rsidRDefault="00FD37AF" w:rsidP="00FD37AF">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34</w:t>
      </w:r>
      <w:r w:rsidRPr="00392E0D">
        <w:rPr>
          <w:rFonts w:cs="Arial"/>
        </w:rPr>
        <w:fldChar w:fldCharType="end"/>
      </w:r>
      <w:r w:rsidR="00881BC9" w:rsidRPr="00392E0D">
        <w:rPr>
          <w:rFonts w:cs="Arial"/>
        </w:rPr>
        <w:tab/>
      </w:r>
      <w:r w:rsidRPr="00392E0D">
        <w:rPr>
          <w:rFonts w:eastAsiaTheme="minorHAnsi" w:cs="Arial"/>
          <w:lang w:val="en-AU"/>
        </w:rPr>
        <w:t xml:space="preserve">Percentage of children developmentally on track on five domains by </w:t>
      </w:r>
      <w:proofErr w:type="spellStart"/>
      <w:r w:rsidRPr="00392E0D">
        <w:rPr>
          <w:rFonts w:eastAsiaTheme="minorHAnsi" w:cs="Arial"/>
          <w:lang w:val="en-AU"/>
        </w:rPr>
        <w:t>LBOTE</w:t>
      </w:r>
      <w:proofErr w:type="spellEnd"/>
      <w:r w:rsidRPr="00392E0D">
        <w:rPr>
          <w:rFonts w:eastAsiaTheme="minorHAnsi" w:cs="Arial"/>
          <w:lang w:val="en-AU"/>
        </w:rPr>
        <w:t xml:space="preserve"> status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FD37AF" w:rsidRPr="00392E0D" w14:paraId="13804125" w14:textId="77777777" w:rsidTr="008872D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26D8B1F4" w14:textId="77777777" w:rsidR="00FD37AF" w:rsidRPr="00392E0D" w:rsidRDefault="00FD37AF" w:rsidP="00FD37AF">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622F98D5"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57071040"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45073E2B"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41E8C612"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1A038133"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FD37AF" w:rsidRPr="00392E0D" w14:paraId="2D3B4308" w14:textId="77777777" w:rsidTr="00FD37AF">
        <w:trPr>
          <w:trHeight w:val="287"/>
        </w:trPr>
        <w:tc>
          <w:tcPr>
            <w:tcW w:w="3774" w:type="dxa"/>
            <w:tcBorders>
              <w:top w:val="single" w:sz="6" w:space="0" w:color="auto"/>
              <w:left w:val="single" w:sz="6" w:space="0" w:color="auto"/>
              <w:bottom w:val="single" w:sz="6" w:space="0" w:color="auto"/>
              <w:right w:val="single" w:sz="6" w:space="0" w:color="auto"/>
            </w:tcBorders>
          </w:tcPr>
          <w:p w14:paraId="3A4FE416" w14:textId="77777777" w:rsidR="00FD37AF" w:rsidRPr="00392E0D" w:rsidRDefault="00FD37AF" w:rsidP="00FD37AF">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p>
        </w:tc>
        <w:tc>
          <w:tcPr>
            <w:tcW w:w="974" w:type="dxa"/>
            <w:tcBorders>
              <w:top w:val="single" w:sz="6" w:space="0" w:color="auto"/>
              <w:left w:val="single" w:sz="6" w:space="0" w:color="auto"/>
              <w:bottom w:val="single" w:sz="6" w:space="0" w:color="auto"/>
              <w:right w:val="single" w:sz="6" w:space="0" w:color="auto"/>
            </w:tcBorders>
          </w:tcPr>
          <w:p w14:paraId="25EDE9F3"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42.1</w:t>
            </w:r>
          </w:p>
        </w:tc>
        <w:tc>
          <w:tcPr>
            <w:tcW w:w="975" w:type="dxa"/>
            <w:tcBorders>
              <w:top w:val="single" w:sz="6" w:space="0" w:color="auto"/>
              <w:left w:val="single" w:sz="6" w:space="0" w:color="auto"/>
              <w:bottom w:val="single" w:sz="6" w:space="0" w:color="auto"/>
              <w:right w:val="single" w:sz="6" w:space="0" w:color="auto"/>
            </w:tcBorders>
          </w:tcPr>
          <w:p w14:paraId="3334CD78"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44.9</w:t>
            </w:r>
          </w:p>
        </w:tc>
        <w:tc>
          <w:tcPr>
            <w:tcW w:w="974" w:type="dxa"/>
            <w:tcBorders>
              <w:top w:val="single" w:sz="6" w:space="0" w:color="auto"/>
              <w:left w:val="single" w:sz="6" w:space="0" w:color="auto"/>
              <w:bottom w:val="single" w:sz="6" w:space="0" w:color="auto"/>
              <w:right w:val="single" w:sz="6" w:space="0" w:color="auto"/>
            </w:tcBorders>
          </w:tcPr>
          <w:p w14:paraId="0BBB454C"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47.3</w:t>
            </w:r>
          </w:p>
        </w:tc>
        <w:tc>
          <w:tcPr>
            <w:tcW w:w="975" w:type="dxa"/>
            <w:tcBorders>
              <w:top w:val="single" w:sz="6" w:space="0" w:color="auto"/>
              <w:left w:val="single" w:sz="6" w:space="0" w:color="auto"/>
              <w:bottom w:val="single" w:sz="6" w:space="0" w:color="auto"/>
              <w:right w:val="single" w:sz="6" w:space="0" w:color="auto"/>
            </w:tcBorders>
          </w:tcPr>
          <w:p w14:paraId="2A5E19C7"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50.0</w:t>
            </w:r>
          </w:p>
        </w:tc>
        <w:tc>
          <w:tcPr>
            <w:tcW w:w="974" w:type="dxa"/>
            <w:tcBorders>
              <w:top w:val="single" w:sz="6" w:space="0" w:color="auto"/>
              <w:left w:val="single" w:sz="6" w:space="0" w:color="auto"/>
              <w:bottom w:val="single" w:sz="6" w:space="0" w:color="auto"/>
              <w:right w:val="single" w:sz="6" w:space="0" w:color="auto"/>
            </w:tcBorders>
          </w:tcPr>
          <w:p w14:paraId="770F9E5D"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50.3</w:t>
            </w:r>
          </w:p>
        </w:tc>
      </w:tr>
      <w:tr w:rsidR="00FD37AF" w:rsidRPr="00392E0D" w14:paraId="2A82E913" w14:textId="77777777" w:rsidTr="00FD37AF">
        <w:trPr>
          <w:trHeight w:val="287"/>
        </w:trPr>
        <w:tc>
          <w:tcPr>
            <w:tcW w:w="3774" w:type="dxa"/>
            <w:tcBorders>
              <w:top w:val="single" w:sz="6" w:space="0" w:color="auto"/>
              <w:left w:val="single" w:sz="6" w:space="0" w:color="auto"/>
              <w:bottom w:val="single" w:sz="6" w:space="0" w:color="auto"/>
              <w:right w:val="single" w:sz="6" w:space="0" w:color="auto"/>
            </w:tcBorders>
          </w:tcPr>
          <w:p w14:paraId="55875D73" w14:textId="77777777" w:rsidR="00FD37AF" w:rsidRPr="00392E0D" w:rsidRDefault="00FD37AF" w:rsidP="00FD37AF">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w:t>
            </w:r>
          </w:p>
        </w:tc>
        <w:tc>
          <w:tcPr>
            <w:tcW w:w="974" w:type="dxa"/>
            <w:tcBorders>
              <w:top w:val="single" w:sz="6" w:space="0" w:color="auto"/>
              <w:left w:val="single" w:sz="6" w:space="0" w:color="auto"/>
              <w:bottom w:val="single" w:sz="6" w:space="0" w:color="auto"/>
              <w:right w:val="single" w:sz="6" w:space="0" w:color="auto"/>
            </w:tcBorders>
          </w:tcPr>
          <w:p w14:paraId="4518F2EC"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52.6</w:t>
            </w:r>
          </w:p>
        </w:tc>
        <w:tc>
          <w:tcPr>
            <w:tcW w:w="975" w:type="dxa"/>
            <w:tcBorders>
              <w:top w:val="single" w:sz="6" w:space="0" w:color="auto"/>
              <w:left w:val="single" w:sz="6" w:space="0" w:color="auto"/>
              <w:bottom w:val="single" w:sz="6" w:space="0" w:color="auto"/>
              <w:right w:val="single" w:sz="6" w:space="0" w:color="auto"/>
            </w:tcBorders>
          </w:tcPr>
          <w:p w14:paraId="692C2205"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55.6</w:t>
            </w:r>
          </w:p>
        </w:tc>
        <w:tc>
          <w:tcPr>
            <w:tcW w:w="974" w:type="dxa"/>
            <w:tcBorders>
              <w:top w:val="single" w:sz="6" w:space="0" w:color="auto"/>
              <w:left w:val="single" w:sz="6" w:space="0" w:color="auto"/>
              <w:bottom w:val="single" w:sz="6" w:space="0" w:color="auto"/>
              <w:right w:val="single" w:sz="6" w:space="0" w:color="auto"/>
            </w:tcBorders>
          </w:tcPr>
          <w:p w14:paraId="5D22154C"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56.1</w:t>
            </w:r>
          </w:p>
        </w:tc>
        <w:tc>
          <w:tcPr>
            <w:tcW w:w="975" w:type="dxa"/>
            <w:tcBorders>
              <w:top w:val="single" w:sz="6" w:space="0" w:color="auto"/>
              <w:left w:val="single" w:sz="6" w:space="0" w:color="auto"/>
              <w:bottom w:val="single" w:sz="6" w:space="0" w:color="auto"/>
              <w:right w:val="single" w:sz="6" w:space="0" w:color="auto"/>
            </w:tcBorders>
          </w:tcPr>
          <w:p w14:paraId="7F97EBA2"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57.2</w:t>
            </w:r>
          </w:p>
        </w:tc>
        <w:tc>
          <w:tcPr>
            <w:tcW w:w="974" w:type="dxa"/>
            <w:tcBorders>
              <w:top w:val="single" w:sz="6" w:space="0" w:color="auto"/>
              <w:left w:val="single" w:sz="6" w:space="0" w:color="auto"/>
              <w:bottom w:val="single" w:sz="6" w:space="0" w:color="auto"/>
              <w:right w:val="single" w:sz="6" w:space="0" w:color="auto"/>
            </w:tcBorders>
          </w:tcPr>
          <w:p w14:paraId="02379CB1" w14:textId="77777777" w:rsidR="00FD37AF" w:rsidRPr="00392E0D" w:rsidRDefault="00FD37AF" w:rsidP="00FD37A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56.4</w:t>
            </w:r>
          </w:p>
        </w:tc>
      </w:tr>
    </w:tbl>
    <w:p w14:paraId="00B35BBD" w14:textId="0F7B9365" w:rsidR="00881BC9" w:rsidRPr="00392E0D" w:rsidRDefault="00881BC9" w:rsidP="009F5FD9">
      <w:pPr>
        <w:pStyle w:val="Heading2"/>
        <w:spacing w:before="240"/>
        <w:rPr>
          <w:rFonts w:cs="Arial"/>
        </w:rPr>
      </w:pPr>
      <w:r w:rsidRPr="00392E0D">
        <w:rPr>
          <w:rFonts w:cs="Arial"/>
        </w:rPr>
        <w:t>Percentage of children developmentally vulnerable by AEDC domain</w:t>
      </w:r>
    </w:p>
    <w:p w14:paraId="6BC0274E" w14:textId="60169E60" w:rsidR="00881BC9" w:rsidRPr="00392E0D" w:rsidRDefault="00881BC9" w:rsidP="00881BC9">
      <w:pPr>
        <w:pStyle w:val="Caption"/>
        <w:rPr>
          <w:rFonts w:eastAsiaTheme="minorHAnsi" w:cs="Arial"/>
          <w:color w:val="00000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35</w:t>
      </w:r>
      <w:r w:rsidRPr="00392E0D">
        <w:rPr>
          <w:rFonts w:cs="Arial"/>
        </w:rPr>
        <w:fldChar w:fldCharType="end"/>
      </w:r>
      <w:r w:rsidRPr="00392E0D">
        <w:rPr>
          <w:rFonts w:cs="Arial"/>
        </w:rPr>
        <w:tab/>
      </w:r>
      <w:r w:rsidRPr="00392E0D">
        <w:rPr>
          <w:rFonts w:eastAsiaTheme="minorHAnsi" w:cs="Arial"/>
        </w:rPr>
        <w:t xml:space="preserve">Percentage of children developmentally vulnerable on Physical health and wellbeing domain, by </w:t>
      </w:r>
      <w:proofErr w:type="spellStart"/>
      <w:r w:rsidRPr="00392E0D">
        <w:rPr>
          <w:rFonts w:eastAsiaTheme="minorHAnsi" w:cs="Arial"/>
        </w:rPr>
        <w:t>LBOTE</w:t>
      </w:r>
      <w:proofErr w:type="spellEnd"/>
      <w:r w:rsidRPr="00392E0D">
        <w:rPr>
          <w:rFonts w:eastAsiaTheme="minorHAnsi" w:cs="Arial"/>
        </w:rPr>
        <w:t xml:space="preserve"> status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881BC9" w:rsidRPr="00392E0D" w14:paraId="16F143D1" w14:textId="77777777" w:rsidTr="008872D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45B0CE93" w14:textId="77777777" w:rsidR="00881BC9" w:rsidRPr="00392E0D" w:rsidRDefault="00881BC9" w:rsidP="006E111A">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2AF1C554"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182BFEE3"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6ADDF5FF"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603325EE"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254303B0"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881BC9" w:rsidRPr="00392E0D" w14:paraId="191E2ED1"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40C36A57"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p>
        </w:tc>
        <w:tc>
          <w:tcPr>
            <w:tcW w:w="974" w:type="dxa"/>
            <w:tcBorders>
              <w:top w:val="single" w:sz="6" w:space="0" w:color="auto"/>
              <w:left w:val="single" w:sz="6" w:space="0" w:color="auto"/>
              <w:bottom w:val="single" w:sz="6" w:space="0" w:color="auto"/>
              <w:right w:val="single" w:sz="6" w:space="0" w:color="auto"/>
            </w:tcBorders>
          </w:tcPr>
          <w:p w14:paraId="23D3550A"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w:t>
            </w:r>
          </w:p>
        </w:tc>
        <w:tc>
          <w:tcPr>
            <w:tcW w:w="975" w:type="dxa"/>
            <w:tcBorders>
              <w:top w:val="single" w:sz="6" w:space="0" w:color="auto"/>
              <w:left w:val="single" w:sz="6" w:space="0" w:color="auto"/>
              <w:bottom w:val="single" w:sz="6" w:space="0" w:color="auto"/>
              <w:right w:val="single" w:sz="6" w:space="0" w:color="auto"/>
            </w:tcBorders>
          </w:tcPr>
          <w:p w14:paraId="7D721468"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974" w:type="dxa"/>
            <w:tcBorders>
              <w:top w:val="single" w:sz="6" w:space="0" w:color="auto"/>
              <w:left w:val="single" w:sz="6" w:space="0" w:color="auto"/>
              <w:bottom w:val="single" w:sz="6" w:space="0" w:color="auto"/>
              <w:right w:val="single" w:sz="6" w:space="0" w:color="auto"/>
            </w:tcBorders>
          </w:tcPr>
          <w:p w14:paraId="1C85C754"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w:t>
            </w:r>
          </w:p>
        </w:tc>
        <w:tc>
          <w:tcPr>
            <w:tcW w:w="975" w:type="dxa"/>
            <w:tcBorders>
              <w:top w:val="single" w:sz="6" w:space="0" w:color="auto"/>
              <w:left w:val="single" w:sz="6" w:space="0" w:color="auto"/>
              <w:bottom w:val="single" w:sz="6" w:space="0" w:color="auto"/>
              <w:right w:val="single" w:sz="6" w:space="0" w:color="auto"/>
            </w:tcBorders>
          </w:tcPr>
          <w:p w14:paraId="533CAA92"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w:t>
            </w:r>
          </w:p>
        </w:tc>
        <w:tc>
          <w:tcPr>
            <w:tcW w:w="974" w:type="dxa"/>
            <w:tcBorders>
              <w:top w:val="single" w:sz="6" w:space="0" w:color="auto"/>
              <w:left w:val="single" w:sz="6" w:space="0" w:color="auto"/>
              <w:bottom w:val="single" w:sz="6" w:space="0" w:color="auto"/>
              <w:right w:val="single" w:sz="6" w:space="0" w:color="auto"/>
            </w:tcBorders>
          </w:tcPr>
          <w:p w14:paraId="596880B3"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w:t>
            </w:r>
          </w:p>
        </w:tc>
      </w:tr>
      <w:tr w:rsidR="00881BC9" w:rsidRPr="00392E0D" w14:paraId="55D9EDB1"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35F6CEF5"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w:t>
            </w:r>
          </w:p>
        </w:tc>
        <w:tc>
          <w:tcPr>
            <w:tcW w:w="974" w:type="dxa"/>
            <w:tcBorders>
              <w:top w:val="single" w:sz="6" w:space="0" w:color="auto"/>
              <w:left w:val="single" w:sz="6" w:space="0" w:color="auto"/>
              <w:bottom w:val="single" w:sz="6" w:space="0" w:color="auto"/>
              <w:right w:val="single" w:sz="6" w:space="0" w:color="auto"/>
            </w:tcBorders>
          </w:tcPr>
          <w:p w14:paraId="586E6E56"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9.1</w:t>
            </w:r>
          </w:p>
        </w:tc>
        <w:tc>
          <w:tcPr>
            <w:tcW w:w="975" w:type="dxa"/>
            <w:tcBorders>
              <w:top w:val="single" w:sz="6" w:space="0" w:color="auto"/>
              <w:left w:val="single" w:sz="6" w:space="0" w:color="auto"/>
              <w:bottom w:val="single" w:sz="6" w:space="0" w:color="auto"/>
              <w:right w:val="single" w:sz="6" w:space="0" w:color="auto"/>
            </w:tcBorders>
          </w:tcPr>
          <w:p w14:paraId="1F8BB136"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w:t>
            </w:r>
          </w:p>
        </w:tc>
        <w:tc>
          <w:tcPr>
            <w:tcW w:w="974" w:type="dxa"/>
            <w:tcBorders>
              <w:top w:val="single" w:sz="6" w:space="0" w:color="auto"/>
              <w:left w:val="single" w:sz="6" w:space="0" w:color="auto"/>
              <w:bottom w:val="single" w:sz="6" w:space="0" w:color="auto"/>
              <w:right w:val="single" w:sz="6" w:space="0" w:color="auto"/>
            </w:tcBorders>
          </w:tcPr>
          <w:p w14:paraId="4D1A2189"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w:t>
            </w:r>
          </w:p>
        </w:tc>
        <w:tc>
          <w:tcPr>
            <w:tcW w:w="975" w:type="dxa"/>
            <w:tcBorders>
              <w:top w:val="single" w:sz="6" w:space="0" w:color="auto"/>
              <w:left w:val="single" w:sz="6" w:space="0" w:color="auto"/>
              <w:bottom w:val="single" w:sz="6" w:space="0" w:color="auto"/>
              <w:right w:val="single" w:sz="6" w:space="0" w:color="auto"/>
            </w:tcBorders>
          </w:tcPr>
          <w:p w14:paraId="7E855218"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w:t>
            </w:r>
          </w:p>
        </w:tc>
        <w:tc>
          <w:tcPr>
            <w:tcW w:w="974" w:type="dxa"/>
            <w:tcBorders>
              <w:top w:val="single" w:sz="6" w:space="0" w:color="auto"/>
              <w:left w:val="single" w:sz="6" w:space="0" w:color="auto"/>
              <w:bottom w:val="single" w:sz="6" w:space="0" w:color="auto"/>
              <w:right w:val="single" w:sz="6" w:space="0" w:color="auto"/>
            </w:tcBorders>
          </w:tcPr>
          <w:p w14:paraId="5BAB4DF1"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r>
    </w:tbl>
    <w:p w14:paraId="248082A8" w14:textId="2375D111" w:rsidR="00881BC9" w:rsidRPr="00392E0D" w:rsidRDefault="00881BC9" w:rsidP="00881BC9">
      <w:pPr>
        <w:pStyle w:val="Caption"/>
        <w:rPr>
          <w:rFonts w:eastAsiaTheme="minorHAnsi" w:cs="Arial"/>
          <w:color w:val="00000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36</w:t>
      </w:r>
      <w:r w:rsidRPr="00392E0D">
        <w:rPr>
          <w:rFonts w:cs="Arial"/>
        </w:rPr>
        <w:fldChar w:fldCharType="end"/>
      </w:r>
      <w:r w:rsidRPr="00392E0D">
        <w:rPr>
          <w:rFonts w:cs="Arial"/>
        </w:rPr>
        <w:tab/>
      </w:r>
      <w:r w:rsidRPr="00392E0D">
        <w:rPr>
          <w:rFonts w:eastAsiaTheme="minorHAnsi" w:cs="Arial"/>
        </w:rPr>
        <w:t xml:space="preserve">Percentage of children developmentally vulnerable on </w:t>
      </w:r>
      <w:proofErr w:type="gramStart"/>
      <w:r w:rsidRPr="00392E0D">
        <w:rPr>
          <w:rFonts w:eastAsiaTheme="minorHAnsi" w:cs="Arial"/>
        </w:rPr>
        <w:t>Social</w:t>
      </w:r>
      <w:proofErr w:type="gramEnd"/>
      <w:r w:rsidRPr="00392E0D">
        <w:rPr>
          <w:rFonts w:eastAsiaTheme="minorHAnsi" w:cs="Arial"/>
        </w:rPr>
        <w:t xml:space="preserve"> competence domain, by </w:t>
      </w:r>
      <w:proofErr w:type="spellStart"/>
      <w:r w:rsidRPr="00392E0D">
        <w:rPr>
          <w:rFonts w:eastAsiaTheme="minorHAnsi" w:cs="Arial"/>
        </w:rPr>
        <w:t>LBOTE</w:t>
      </w:r>
      <w:proofErr w:type="spellEnd"/>
      <w:r w:rsidRPr="00392E0D">
        <w:rPr>
          <w:rFonts w:eastAsiaTheme="minorHAnsi" w:cs="Arial"/>
          <w:color w:val="000000"/>
          <w:lang w:val="en-AU"/>
        </w:rPr>
        <w:t xml:space="preserve"> status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881BC9" w:rsidRPr="00392E0D" w14:paraId="10A5E278" w14:textId="77777777" w:rsidTr="008872D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71213B53" w14:textId="77777777" w:rsidR="00881BC9" w:rsidRPr="00392E0D" w:rsidRDefault="00881BC9" w:rsidP="006E111A">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22EDC641"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16DB830F"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7E3F88F3"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6675BC73"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4DCB7074"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881BC9" w:rsidRPr="00392E0D" w14:paraId="5F1834C3"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46EDBE48"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p>
        </w:tc>
        <w:tc>
          <w:tcPr>
            <w:tcW w:w="974" w:type="dxa"/>
            <w:tcBorders>
              <w:top w:val="single" w:sz="6" w:space="0" w:color="auto"/>
              <w:left w:val="single" w:sz="6" w:space="0" w:color="auto"/>
              <w:bottom w:val="single" w:sz="6" w:space="0" w:color="auto"/>
              <w:right w:val="single" w:sz="6" w:space="0" w:color="auto"/>
            </w:tcBorders>
          </w:tcPr>
          <w:p w14:paraId="29A99BD6"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11.8</w:t>
            </w:r>
          </w:p>
        </w:tc>
        <w:tc>
          <w:tcPr>
            <w:tcW w:w="975" w:type="dxa"/>
            <w:tcBorders>
              <w:top w:val="single" w:sz="6" w:space="0" w:color="auto"/>
              <w:left w:val="single" w:sz="6" w:space="0" w:color="auto"/>
              <w:bottom w:val="single" w:sz="6" w:space="0" w:color="auto"/>
              <w:right w:val="single" w:sz="6" w:space="0" w:color="auto"/>
            </w:tcBorders>
          </w:tcPr>
          <w:p w14:paraId="6ACC25C0"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11.2</w:t>
            </w:r>
          </w:p>
        </w:tc>
        <w:tc>
          <w:tcPr>
            <w:tcW w:w="974" w:type="dxa"/>
            <w:tcBorders>
              <w:top w:val="single" w:sz="6" w:space="0" w:color="auto"/>
              <w:left w:val="single" w:sz="6" w:space="0" w:color="auto"/>
              <w:bottom w:val="single" w:sz="6" w:space="0" w:color="auto"/>
              <w:right w:val="single" w:sz="6" w:space="0" w:color="auto"/>
            </w:tcBorders>
          </w:tcPr>
          <w:p w14:paraId="34D11BC1"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11.7</w:t>
            </w:r>
          </w:p>
        </w:tc>
        <w:tc>
          <w:tcPr>
            <w:tcW w:w="975" w:type="dxa"/>
            <w:tcBorders>
              <w:top w:val="single" w:sz="6" w:space="0" w:color="auto"/>
              <w:left w:val="single" w:sz="6" w:space="0" w:color="auto"/>
              <w:bottom w:val="single" w:sz="6" w:space="0" w:color="auto"/>
              <w:right w:val="single" w:sz="6" w:space="0" w:color="auto"/>
            </w:tcBorders>
          </w:tcPr>
          <w:p w14:paraId="55228F42"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974" w:type="dxa"/>
            <w:tcBorders>
              <w:top w:val="single" w:sz="6" w:space="0" w:color="auto"/>
              <w:left w:val="single" w:sz="6" w:space="0" w:color="auto"/>
              <w:bottom w:val="single" w:sz="6" w:space="0" w:color="auto"/>
              <w:right w:val="single" w:sz="6" w:space="0" w:color="auto"/>
            </w:tcBorders>
          </w:tcPr>
          <w:p w14:paraId="29DEB025"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r>
      <w:tr w:rsidR="00881BC9" w:rsidRPr="00392E0D" w14:paraId="14AD3BB0"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3EACF4F5"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w:t>
            </w:r>
          </w:p>
        </w:tc>
        <w:tc>
          <w:tcPr>
            <w:tcW w:w="974" w:type="dxa"/>
            <w:tcBorders>
              <w:top w:val="single" w:sz="6" w:space="0" w:color="auto"/>
              <w:left w:val="single" w:sz="6" w:space="0" w:color="auto"/>
              <w:bottom w:val="single" w:sz="6" w:space="0" w:color="auto"/>
              <w:right w:val="single" w:sz="6" w:space="0" w:color="auto"/>
            </w:tcBorders>
          </w:tcPr>
          <w:p w14:paraId="0C3E25DC"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w:t>
            </w:r>
          </w:p>
        </w:tc>
        <w:tc>
          <w:tcPr>
            <w:tcW w:w="975" w:type="dxa"/>
            <w:tcBorders>
              <w:top w:val="single" w:sz="6" w:space="0" w:color="auto"/>
              <w:left w:val="single" w:sz="6" w:space="0" w:color="auto"/>
              <w:bottom w:val="single" w:sz="6" w:space="0" w:color="auto"/>
              <w:right w:val="single" w:sz="6" w:space="0" w:color="auto"/>
            </w:tcBorders>
          </w:tcPr>
          <w:p w14:paraId="473F2E01"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8.8</w:t>
            </w:r>
          </w:p>
        </w:tc>
        <w:tc>
          <w:tcPr>
            <w:tcW w:w="974" w:type="dxa"/>
            <w:tcBorders>
              <w:top w:val="single" w:sz="6" w:space="0" w:color="auto"/>
              <w:left w:val="single" w:sz="6" w:space="0" w:color="auto"/>
              <w:bottom w:val="single" w:sz="6" w:space="0" w:color="auto"/>
              <w:right w:val="single" w:sz="6" w:space="0" w:color="auto"/>
            </w:tcBorders>
          </w:tcPr>
          <w:p w14:paraId="5DD4C855"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w:t>
            </w:r>
          </w:p>
        </w:tc>
        <w:tc>
          <w:tcPr>
            <w:tcW w:w="975" w:type="dxa"/>
            <w:tcBorders>
              <w:top w:val="single" w:sz="6" w:space="0" w:color="auto"/>
              <w:left w:val="single" w:sz="6" w:space="0" w:color="auto"/>
              <w:bottom w:val="single" w:sz="6" w:space="0" w:color="auto"/>
              <w:right w:val="single" w:sz="6" w:space="0" w:color="auto"/>
            </w:tcBorders>
          </w:tcPr>
          <w:p w14:paraId="47165B44"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w:t>
            </w:r>
          </w:p>
        </w:tc>
        <w:tc>
          <w:tcPr>
            <w:tcW w:w="974" w:type="dxa"/>
            <w:tcBorders>
              <w:top w:val="single" w:sz="6" w:space="0" w:color="auto"/>
              <w:left w:val="single" w:sz="6" w:space="0" w:color="auto"/>
              <w:bottom w:val="single" w:sz="6" w:space="0" w:color="auto"/>
              <w:right w:val="single" w:sz="6" w:space="0" w:color="auto"/>
            </w:tcBorders>
          </w:tcPr>
          <w:p w14:paraId="3FB8193E"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w:t>
            </w:r>
          </w:p>
        </w:tc>
      </w:tr>
    </w:tbl>
    <w:p w14:paraId="54D79272" w14:textId="1D122333" w:rsidR="00881BC9" w:rsidRPr="00392E0D" w:rsidRDefault="00881BC9" w:rsidP="00881BC9">
      <w:pPr>
        <w:pStyle w:val="Caption"/>
        <w:rPr>
          <w:rFonts w:eastAsiaTheme="minorHAnsi" w:cs="Arial"/>
          <w:color w:val="00000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37</w:t>
      </w:r>
      <w:r w:rsidRPr="00392E0D">
        <w:rPr>
          <w:rFonts w:cs="Arial"/>
        </w:rPr>
        <w:fldChar w:fldCharType="end"/>
      </w:r>
      <w:r w:rsidRPr="00392E0D">
        <w:rPr>
          <w:rFonts w:cs="Arial"/>
        </w:rPr>
        <w:tab/>
      </w:r>
      <w:r w:rsidRPr="00392E0D">
        <w:rPr>
          <w:rFonts w:eastAsiaTheme="minorHAnsi" w:cs="Arial"/>
        </w:rPr>
        <w:t xml:space="preserve">Percentage of children developmentally vulnerable on Emotional maturity domain, by </w:t>
      </w:r>
      <w:proofErr w:type="spellStart"/>
      <w:r w:rsidRPr="00392E0D">
        <w:rPr>
          <w:rFonts w:eastAsiaTheme="minorHAnsi" w:cs="Arial"/>
        </w:rPr>
        <w:t>LBOTE</w:t>
      </w:r>
      <w:proofErr w:type="spellEnd"/>
      <w:r w:rsidRPr="00392E0D">
        <w:rPr>
          <w:rFonts w:eastAsiaTheme="minorHAnsi" w:cs="Arial"/>
          <w:color w:val="000000"/>
          <w:lang w:val="en-AU"/>
        </w:rPr>
        <w:t xml:space="preserve"> status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881BC9" w:rsidRPr="00392E0D" w14:paraId="4597FB04" w14:textId="77777777" w:rsidTr="008872D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D1A1280" w14:textId="77777777" w:rsidR="00881BC9" w:rsidRPr="00392E0D" w:rsidRDefault="00881BC9" w:rsidP="006E111A">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1C44B8B4"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136EA324"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16755613"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2E73E102"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2E8BD5DB"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881BC9" w:rsidRPr="00392E0D" w14:paraId="04ABACDB"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728594BA"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p>
        </w:tc>
        <w:tc>
          <w:tcPr>
            <w:tcW w:w="974" w:type="dxa"/>
            <w:tcBorders>
              <w:top w:val="single" w:sz="6" w:space="0" w:color="auto"/>
              <w:left w:val="single" w:sz="6" w:space="0" w:color="auto"/>
              <w:bottom w:val="single" w:sz="6" w:space="0" w:color="auto"/>
              <w:right w:val="single" w:sz="6" w:space="0" w:color="auto"/>
            </w:tcBorders>
          </w:tcPr>
          <w:p w14:paraId="09A7A054"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w:t>
            </w:r>
          </w:p>
        </w:tc>
        <w:tc>
          <w:tcPr>
            <w:tcW w:w="975" w:type="dxa"/>
            <w:tcBorders>
              <w:top w:val="single" w:sz="6" w:space="0" w:color="auto"/>
              <w:left w:val="single" w:sz="6" w:space="0" w:color="auto"/>
              <w:bottom w:val="single" w:sz="6" w:space="0" w:color="auto"/>
              <w:right w:val="single" w:sz="6" w:space="0" w:color="auto"/>
            </w:tcBorders>
          </w:tcPr>
          <w:p w14:paraId="7EBE7A9F"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w:t>
            </w:r>
          </w:p>
        </w:tc>
        <w:tc>
          <w:tcPr>
            <w:tcW w:w="974" w:type="dxa"/>
            <w:tcBorders>
              <w:top w:val="single" w:sz="6" w:space="0" w:color="auto"/>
              <w:left w:val="single" w:sz="6" w:space="0" w:color="auto"/>
              <w:bottom w:val="single" w:sz="6" w:space="0" w:color="auto"/>
              <w:right w:val="single" w:sz="6" w:space="0" w:color="auto"/>
            </w:tcBorders>
          </w:tcPr>
          <w:p w14:paraId="6C732A3C"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w:t>
            </w:r>
          </w:p>
        </w:tc>
        <w:tc>
          <w:tcPr>
            <w:tcW w:w="975" w:type="dxa"/>
            <w:tcBorders>
              <w:top w:val="single" w:sz="6" w:space="0" w:color="auto"/>
              <w:left w:val="single" w:sz="6" w:space="0" w:color="auto"/>
              <w:bottom w:val="single" w:sz="6" w:space="0" w:color="auto"/>
              <w:right w:val="single" w:sz="6" w:space="0" w:color="auto"/>
            </w:tcBorders>
          </w:tcPr>
          <w:p w14:paraId="19281F09"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w:t>
            </w:r>
          </w:p>
        </w:tc>
        <w:tc>
          <w:tcPr>
            <w:tcW w:w="974" w:type="dxa"/>
            <w:tcBorders>
              <w:top w:val="single" w:sz="6" w:space="0" w:color="auto"/>
              <w:left w:val="single" w:sz="6" w:space="0" w:color="auto"/>
              <w:bottom w:val="single" w:sz="6" w:space="0" w:color="auto"/>
              <w:right w:val="single" w:sz="6" w:space="0" w:color="auto"/>
            </w:tcBorders>
          </w:tcPr>
          <w:p w14:paraId="333B4AA7"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w:t>
            </w:r>
          </w:p>
        </w:tc>
      </w:tr>
      <w:tr w:rsidR="00881BC9" w:rsidRPr="00392E0D" w14:paraId="16A75980"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49130C46"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w:t>
            </w:r>
          </w:p>
        </w:tc>
        <w:tc>
          <w:tcPr>
            <w:tcW w:w="974" w:type="dxa"/>
            <w:tcBorders>
              <w:top w:val="single" w:sz="6" w:space="0" w:color="auto"/>
              <w:left w:val="single" w:sz="6" w:space="0" w:color="auto"/>
              <w:bottom w:val="single" w:sz="6" w:space="0" w:color="auto"/>
              <w:right w:val="single" w:sz="6" w:space="0" w:color="auto"/>
            </w:tcBorders>
          </w:tcPr>
          <w:p w14:paraId="7ACAB48A"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w:t>
            </w:r>
          </w:p>
        </w:tc>
        <w:tc>
          <w:tcPr>
            <w:tcW w:w="975" w:type="dxa"/>
            <w:tcBorders>
              <w:top w:val="single" w:sz="6" w:space="0" w:color="auto"/>
              <w:left w:val="single" w:sz="6" w:space="0" w:color="auto"/>
              <w:bottom w:val="single" w:sz="6" w:space="0" w:color="auto"/>
              <w:right w:val="single" w:sz="6" w:space="0" w:color="auto"/>
            </w:tcBorders>
          </w:tcPr>
          <w:p w14:paraId="4D7D0D8A"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w:t>
            </w:r>
          </w:p>
        </w:tc>
        <w:tc>
          <w:tcPr>
            <w:tcW w:w="974" w:type="dxa"/>
            <w:tcBorders>
              <w:top w:val="single" w:sz="6" w:space="0" w:color="auto"/>
              <w:left w:val="single" w:sz="6" w:space="0" w:color="auto"/>
              <w:bottom w:val="single" w:sz="6" w:space="0" w:color="auto"/>
              <w:right w:val="single" w:sz="6" w:space="0" w:color="auto"/>
            </w:tcBorders>
          </w:tcPr>
          <w:p w14:paraId="517D4744"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w:t>
            </w:r>
          </w:p>
        </w:tc>
        <w:tc>
          <w:tcPr>
            <w:tcW w:w="975" w:type="dxa"/>
            <w:tcBorders>
              <w:top w:val="single" w:sz="6" w:space="0" w:color="auto"/>
              <w:left w:val="single" w:sz="6" w:space="0" w:color="auto"/>
              <w:bottom w:val="single" w:sz="6" w:space="0" w:color="auto"/>
              <w:right w:val="single" w:sz="6" w:space="0" w:color="auto"/>
            </w:tcBorders>
          </w:tcPr>
          <w:p w14:paraId="4E23D744"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w:t>
            </w:r>
          </w:p>
        </w:tc>
        <w:tc>
          <w:tcPr>
            <w:tcW w:w="974" w:type="dxa"/>
            <w:tcBorders>
              <w:top w:val="single" w:sz="6" w:space="0" w:color="auto"/>
              <w:left w:val="single" w:sz="6" w:space="0" w:color="auto"/>
              <w:bottom w:val="single" w:sz="6" w:space="0" w:color="auto"/>
              <w:right w:val="single" w:sz="6" w:space="0" w:color="auto"/>
            </w:tcBorders>
          </w:tcPr>
          <w:p w14:paraId="50062431"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8.8</w:t>
            </w:r>
          </w:p>
        </w:tc>
      </w:tr>
    </w:tbl>
    <w:p w14:paraId="2D2133FB" w14:textId="06F8FB2D" w:rsidR="00881BC9" w:rsidRPr="00392E0D" w:rsidRDefault="00881BC9" w:rsidP="00881BC9">
      <w:pPr>
        <w:pStyle w:val="Caption"/>
        <w:rPr>
          <w:rFonts w:eastAsiaTheme="minorHAnsi" w:cs="Arial"/>
          <w:color w:val="00000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38</w:t>
      </w:r>
      <w:r w:rsidRPr="00392E0D">
        <w:rPr>
          <w:rFonts w:cs="Arial"/>
        </w:rPr>
        <w:fldChar w:fldCharType="end"/>
      </w:r>
      <w:r w:rsidRPr="00392E0D">
        <w:rPr>
          <w:rFonts w:cs="Arial"/>
        </w:rPr>
        <w:tab/>
      </w:r>
      <w:r w:rsidRPr="00392E0D">
        <w:rPr>
          <w:rFonts w:eastAsiaTheme="minorHAnsi" w:cs="Arial"/>
        </w:rPr>
        <w:t>Percentage of children developmentally vulnerable on Language and cognitive skills (school-</w:t>
      </w:r>
      <w:r w:rsidRPr="00392E0D">
        <w:rPr>
          <w:rFonts w:eastAsiaTheme="minorHAnsi" w:cs="Arial"/>
          <w:color w:val="000000"/>
          <w:lang w:val="en-AU"/>
        </w:rPr>
        <w:t xml:space="preserve">based) domain, by </w:t>
      </w:r>
      <w:proofErr w:type="spellStart"/>
      <w:r w:rsidRPr="00392E0D">
        <w:rPr>
          <w:rFonts w:eastAsiaTheme="minorHAnsi" w:cs="Arial"/>
          <w:color w:val="000000"/>
          <w:lang w:val="en-AU"/>
        </w:rPr>
        <w:t>LBOTE</w:t>
      </w:r>
      <w:proofErr w:type="spellEnd"/>
      <w:r w:rsidRPr="00392E0D">
        <w:rPr>
          <w:rFonts w:eastAsiaTheme="minorHAnsi" w:cs="Arial"/>
          <w:color w:val="000000"/>
          <w:lang w:val="en-AU"/>
        </w:rPr>
        <w:t xml:space="preserve"> status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881BC9" w:rsidRPr="00392E0D" w14:paraId="241AF8A3" w14:textId="77777777" w:rsidTr="008872D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DD3EBAA" w14:textId="77777777" w:rsidR="00881BC9" w:rsidRPr="00392E0D" w:rsidRDefault="00881BC9" w:rsidP="006E111A">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7604BD89"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2EE81673"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18B1FFFD"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7FB647F3"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0EF33A94"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881BC9" w:rsidRPr="00392E0D" w14:paraId="4A9EE5F4"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39C159E2"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p>
        </w:tc>
        <w:tc>
          <w:tcPr>
            <w:tcW w:w="974" w:type="dxa"/>
            <w:tcBorders>
              <w:top w:val="single" w:sz="6" w:space="0" w:color="auto"/>
              <w:left w:val="single" w:sz="6" w:space="0" w:color="auto"/>
              <w:bottom w:val="single" w:sz="6" w:space="0" w:color="auto"/>
              <w:right w:val="single" w:sz="6" w:space="0" w:color="auto"/>
            </w:tcBorders>
          </w:tcPr>
          <w:p w14:paraId="49A216AE"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w:t>
            </w:r>
          </w:p>
        </w:tc>
        <w:tc>
          <w:tcPr>
            <w:tcW w:w="975" w:type="dxa"/>
            <w:tcBorders>
              <w:top w:val="single" w:sz="6" w:space="0" w:color="auto"/>
              <w:left w:val="single" w:sz="6" w:space="0" w:color="auto"/>
              <w:bottom w:val="single" w:sz="6" w:space="0" w:color="auto"/>
              <w:right w:val="single" w:sz="6" w:space="0" w:color="auto"/>
            </w:tcBorders>
          </w:tcPr>
          <w:p w14:paraId="6A4CFA68"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w:t>
            </w:r>
          </w:p>
        </w:tc>
        <w:tc>
          <w:tcPr>
            <w:tcW w:w="974" w:type="dxa"/>
            <w:tcBorders>
              <w:top w:val="single" w:sz="6" w:space="0" w:color="auto"/>
              <w:left w:val="single" w:sz="6" w:space="0" w:color="auto"/>
              <w:bottom w:val="single" w:sz="6" w:space="0" w:color="auto"/>
              <w:right w:val="single" w:sz="6" w:space="0" w:color="auto"/>
            </w:tcBorders>
          </w:tcPr>
          <w:p w14:paraId="262F68E2"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w:t>
            </w:r>
          </w:p>
        </w:tc>
        <w:tc>
          <w:tcPr>
            <w:tcW w:w="975" w:type="dxa"/>
            <w:tcBorders>
              <w:top w:val="single" w:sz="6" w:space="0" w:color="auto"/>
              <w:left w:val="single" w:sz="6" w:space="0" w:color="auto"/>
              <w:bottom w:val="single" w:sz="6" w:space="0" w:color="auto"/>
              <w:right w:val="single" w:sz="6" w:space="0" w:color="auto"/>
            </w:tcBorders>
          </w:tcPr>
          <w:p w14:paraId="03D77EAC"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w:t>
            </w:r>
          </w:p>
        </w:tc>
        <w:tc>
          <w:tcPr>
            <w:tcW w:w="974" w:type="dxa"/>
            <w:tcBorders>
              <w:top w:val="single" w:sz="6" w:space="0" w:color="auto"/>
              <w:left w:val="single" w:sz="6" w:space="0" w:color="auto"/>
              <w:bottom w:val="single" w:sz="6" w:space="0" w:color="auto"/>
              <w:right w:val="single" w:sz="6" w:space="0" w:color="auto"/>
            </w:tcBorders>
          </w:tcPr>
          <w:p w14:paraId="7D23346B"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w:t>
            </w:r>
          </w:p>
        </w:tc>
      </w:tr>
      <w:tr w:rsidR="00881BC9" w:rsidRPr="00392E0D" w14:paraId="3DD43124"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4CE8AFDC"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w:t>
            </w:r>
          </w:p>
        </w:tc>
        <w:tc>
          <w:tcPr>
            <w:tcW w:w="974" w:type="dxa"/>
            <w:tcBorders>
              <w:top w:val="single" w:sz="6" w:space="0" w:color="auto"/>
              <w:left w:val="single" w:sz="6" w:space="0" w:color="auto"/>
              <w:bottom w:val="single" w:sz="6" w:space="0" w:color="auto"/>
              <w:right w:val="single" w:sz="6" w:space="0" w:color="auto"/>
            </w:tcBorders>
          </w:tcPr>
          <w:p w14:paraId="15AF6C2F"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w:t>
            </w:r>
          </w:p>
        </w:tc>
        <w:tc>
          <w:tcPr>
            <w:tcW w:w="975" w:type="dxa"/>
            <w:tcBorders>
              <w:top w:val="single" w:sz="6" w:space="0" w:color="auto"/>
              <w:left w:val="single" w:sz="6" w:space="0" w:color="auto"/>
              <w:bottom w:val="single" w:sz="6" w:space="0" w:color="auto"/>
              <w:right w:val="single" w:sz="6" w:space="0" w:color="auto"/>
            </w:tcBorders>
          </w:tcPr>
          <w:p w14:paraId="05D5F1B6"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w:t>
            </w:r>
          </w:p>
        </w:tc>
        <w:tc>
          <w:tcPr>
            <w:tcW w:w="974" w:type="dxa"/>
            <w:tcBorders>
              <w:top w:val="single" w:sz="6" w:space="0" w:color="auto"/>
              <w:left w:val="single" w:sz="6" w:space="0" w:color="auto"/>
              <w:bottom w:val="single" w:sz="6" w:space="0" w:color="auto"/>
              <w:right w:val="single" w:sz="6" w:space="0" w:color="auto"/>
            </w:tcBorders>
          </w:tcPr>
          <w:p w14:paraId="7BA69427"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w:t>
            </w:r>
          </w:p>
        </w:tc>
        <w:tc>
          <w:tcPr>
            <w:tcW w:w="975" w:type="dxa"/>
            <w:tcBorders>
              <w:top w:val="single" w:sz="6" w:space="0" w:color="auto"/>
              <w:left w:val="single" w:sz="6" w:space="0" w:color="auto"/>
              <w:bottom w:val="single" w:sz="6" w:space="0" w:color="auto"/>
              <w:right w:val="single" w:sz="6" w:space="0" w:color="auto"/>
            </w:tcBorders>
          </w:tcPr>
          <w:p w14:paraId="408E8F7C"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w:t>
            </w:r>
          </w:p>
        </w:tc>
        <w:tc>
          <w:tcPr>
            <w:tcW w:w="974" w:type="dxa"/>
            <w:tcBorders>
              <w:top w:val="single" w:sz="6" w:space="0" w:color="auto"/>
              <w:left w:val="single" w:sz="6" w:space="0" w:color="auto"/>
              <w:bottom w:val="single" w:sz="6" w:space="0" w:color="auto"/>
              <w:right w:val="single" w:sz="6" w:space="0" w:color="auto"/>
            </w:tcBorders>
          </w:tcPr>
          <w:p w14:paraId="38235081"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w:t>
            </w:r>
          </w:p>
        </w:tc>
      </w:tr>
    </w:tbl>
    <w:p w14:paraId="106E0879" w14:textId="48293BCC" w:rsidR="00881BC9" w:rsidRPr="00392E0D" w:rsidRDefault="00881BC9" w:rsidP="00881BC9">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39</w:t>
      </w:r>
      <w:r w:rsidRPr="00392E0D">
        <w:rPr>
          <w:rFonts w:cs="Arial"/>
        </w:rPr>
        <w:fldChar w:fldCharType="end"/>
      </w:r>
      <w:r w:rsidRPr="00392E0D">
        <w:rPr>
          <w:rFonts w:cs="Arial"/>
        </w:rPr>
        <w:tab/>
      </w:r>
      <w:r w:rsidRPr="00392E0D">
        <w:rPr>
          <w:rFonts w:eastAsiaTheme="minorHAnsi" w:cs="Arial"/>
          <w:lang w:val="en-AU"/>
        </w:rPr>
        <w:t xml:space="preserve">Percentage of children developmentally vulnerable on Communication skills and general knowledge domain, by </w:t>
      </w:r>
      <w:proofErr w:type="spellStart"/>
      <w:r w:rsidRPr="00392E0D">
        <w:rPr>
          <w:rFonts w:eastAsiaTheme="minorHAnsi" w:cs="Arial"/>
          <w:lang w:val="en-AU"/>
        </w:rPr>
        <w:t>LBOTE</w:t>
      </w:r>
      <w:proofErr w:type="spellEnd"/>
      <w:r w:rsidRPr="00392E0D">
        <w:rPr>
          <w:rFonts w:eastAsiaTheme="minorHAnsi" w:cs="Arial"/>
          <w:lang w:val="en-AU"/>
        </w:rPr>
        <w:t xml:space="preserve"> status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881BC9" w:rsidRPr="00392E0D" w14:paraId="44539A38" w14:textId="77777777" w:rsidTr="008872D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847CDFD" w14:textId="77777777" w:rsidR="00881BC9" w:rsidRPr="00392E0D" w:rsidRDefault="00881BC9" w:rsidP="006E111A">
            <w:pPr>
              <w:widowControl/>
              <w:adjustRightInd w:val="0"/>
              <w:spacing w:before="60" w:after="60"/>
              <w:jc w:val="right"/>
              <w:rPr>
                <w:rFonts w:ascii="Arial" w:eastAsiaTheme="minorHAnsi" w:hAnsi="Arial" w:cs="Arial"/>
                <w:color w:val="000000"/>
                <w:sz w:val="20"/>
                <w:szCs w:val="20"/>
                <w:lang w:val="en-AU"/>
              </w:rPr>
            </w:pPr>
          </w:p>
        </w:tc>
        <w:tc>
          <w:tcPr>
            <w:tcW w:w="974" w:type="dxa"/>
            <w:tcBorders>
              <w:top w:val="single" w:sz="6" w:space="0" w:color="auto"/>
              <w:left w:val="single" w:sz="6" w:space="0" w:color="auto"/>
              <w:bottom w:val="single" w:sz="6" w:space="0" w:color="auto"/>
              <w:right w:val="single" w:sz="6" w:space="0" w:color="auto"/>
            </w:tcBorders>
          </w:tcPr>
          <w:p w14:paraId="25B6606B"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09DA5DC"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4" w:type="dxa"/>
            <w:tcBorders>
              <w:top w:val="single" w:sz="6" w:space="0" w:color="auto"/>
              <w:left w:val="single" w:sz="6" w:space="0" w:color="auto"/>
              <w:bottom w:val="single" w:sz="6" w:space="0" w:color="auto"/>
              <w:right w:val="single" w:sz="6" w:space="0" w:color="auto"/>
            </w:tcBorders>
          </w:tcPr>
          <w:p w14:paraId="1AF0E395"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26578BDE"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4" w:type="dxa"/>
            <w:tcBorders>
              <w:top w:val="single" w:sz="6" w:space="0" w:color="auto"/>
              <w:left w:val="single" w:sz="6" w:space="0" w:color="auto"/>
              <w:bottom w:val="single" w:sz="6" w:space="0" w:color="auto"/>
              <w:right w:val="single" w:sz="6" w:space="0" w:color="auto"/>
            </w:tcBorders>
          </w:tcPr>
          <w:p w14:paraId="079D9B18" w14:textId="77777777" w:rsidR="00881BC9" w:rsidRPr="00392E0D" w:rsidRDefault="00881BC9" w:rsidP="006E111A">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881BC9" w:rsidRPr="00392E0D" w14:paraId="0CE48E83"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56504084"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p>
        </w:tc>
        <w:tc>
          <w:tcPr>
            <w:tcW w:w="974" w:type="dxa"/>
            <w:tcBorders>
              <w:top w:val="single" w:sz="6" w:space="0" w:color="auto"/>
              <w:left w:val="single" w:sz="6" w:space="0" w:color="auto"/>
              <w:bottom w:val="single" w:sz="6" w:space="0" w:color="auto"/>
              <w:right w:val="single" w:sz="6" w:space="0" w:color="auto"/>
            </w:tcBorders>
          </w:tcPr>
          <w:p w14:paraId="5FC7F08D"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w:t>
            </w:r>
          </w:p>
        </w:tc>
        <w:tc>
          <w:tcPr>
            <w:tcW w:w="975" w:type="dxa"/>
            <w:tcBorders>
              <w:top w:val="single" w:sz="6" w:space="0" w:color="auto"/>
              <w:left w:val="single" w:sz="6" w:space="0" w:color="auto"/>
              <w:bottom w:val="single" w:sz="6" w:space="0" w:color="auto"/>
              <w:right w:val="single" w:sz="6" w:space="0" w:color="auto"/>
            </w:tcBorders>
          </w:tcPr>
          <w:p w14:paraId="146440F2"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18.2</w:t>
            </w:r>
          </w:p>
        </w:tc>
        <w:tc>
          <w:tcPr>
            <w:tcW w:w="974" w:type="dxa"/>
            <w:tcBorders>
              <w:top w:val="single" w:sz="6" w:space="0" w:color="auto"/>
              <w:left w:val="single" w:sz="6" w:space="0" w:color="auto"/>
              <w:bottom w:val="single" w:sz="6" w:space="0" w:color="auto"/>
              <w:right w:val="single" w:sz="6" w:space="0" w:color="auto"/>
            </w:tcBorders>
          </w:tcPr>
          <w:p w14:paraId="651C30B8"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c>
          <w:tcPr>
            <w:tcW w:w="975" w:type="dxa"/>
            <w:tcBorders>
              <w:top w:val="single" w:sz="6" w:space="0" w:color="auto"/>
              <w:left w:val="single" w:sz="6" w:space="0" w:color="auto"/>
              <w:bottom w:val="single" w:sz="6" w:space="0" w:color="auto"/>
              <w:right w:val="single" w:sz="6" w:space="0" w:color="auto"/>
            </w:tcBorders>
          </w:tcPr>
          <w:p w14:paraId="0585F484"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w:t>
            </w:r>
          </w:p>
        </w:tc>
        <w:tc>
          <w:tcPr>
            <w:tcW w:w="974" w:type="dxa"/>
            <w:tcBorders>
              <w:top w:val="single" w:sz="6" w:space="0" w:color="auto"/>
              <w:left w:val="single" w:sz="6" w:space="0" w:color="auto"/>
              <w:bottom w:val="single" w:sz="6" w:space="0" w:color="auto"/>
              <w:right w:val="single" w:sz="6" w:space="0" w:color="auto"/>
            </w:tcBorders>
          </w:tcPr>
          <w:p w14:paraId="7F020E1E"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14.3</w:t>
            </w:r>
          </w:p>
        </w:tc>
      </w:tr>
      <w:tr w:rsidR="00881BC9" w:rsidRPr="00392E0D" w14:paraId="57679D54"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373BE393" w14:textId="77777777" w:rsidR="00881BC9" w:rsidRPr="00392E0D" w:rsidRDefault="00881BC9" w:rsidP="006E111A">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w:t>
            </w:r>
          </w:p>
        </w:tc>
        <w:tc>
          <w:tcPr>
            <w:tcW w:w="974" w:type="dxa"/>
            <w:tcBorders>
              <w:top w:val="single" w:sz="6" w:space="0" w:color="auto"/>
              <w:left w:val="single" w:sz="6" w:space="0" w:color="auto"/>
              <w:bottom w:val="single" w:sz="6" w:space="0" w:color="auto"/>
              <w:right w:val="single" w:sz="6" w:space="0" w:color="auto"/>
            </w:tcBorders>
          </w:tcPr>
          <w:p w14:paraId="0F9649C9"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w:t>
            </w:r>
          </w:p>
        </w:tc>
        <w:tc>
          <w:tcPr>
            <w:tcW w:w="975" w:type="dxa"/>
            <w:tcBorders>
              <w:top w:val="single" w:sz="6" w:space="0" w:color="auto"/>
              <w:left w:val="single" w:sz="6" w:space="0" w:color="auto"/>
              <w:bottom w:val="single" w:sz="6" w:space="0" w:color="auto"/>
              <w:right w:val="single" w:sz="6" w:space="0" w:color="auto"/>
            </w:tcBorders>
          </w:tcPr>
          <w:p w14:paraId="13994D29"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w:t>
            </w:r>
          </w:p>
        </w:tc>
        <w:tc>
          <w:tcPr>
            <w:tcW w:w="974" w:type="dxa"/>
            <w:tcBorders>
              <w:top w:val="single" w:sz="6" w:space="0" w:color="auto"/>
              <w:left w:val="single" w:sz="6" w:space="0" w:color="auto"/>
              <w:bottom w:val="single" w:sz="6" w:space="0" w:color="auto"/>
              <w:right w:val="single" w:sz="6" w:space="0" w:color="auto"/>
            </w:tcBorders>
          </w:tcPr>
          <w:p w14:paraId="7B31C6A7"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w:t>
            </w:r>
          </w:p>
        </w:tc>
        <w:tc>
          <w:tcPr>
            <w:tcW w:w="975" w:type="dxa"/>
            <w:tcBorders>
              <w:top w:val="single" w:sz="6" w:space="0" w:color="auto"/>
              <w:left w:val="single" w:sz="6" w:space="0" w:color="auto"/>
              <w:bottom w:val="single" w:sz="6" w:space="0" w:color="auto"/>
              <w:right w:val="single" w:sz="6" w:space="0" w:color="auto"/>
            </w:tcBorders>
          </w:tcPr>
          <w:p w14:paraId="3F9EEDAD"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w:t>
            </w:r>
          </w:p>
        </w:tc>
        <w:tc>
          <w:tcPr>
            <w:tcW w:w="974" w:type="dxa"/>
            <w:tcBorders>
              <w:top w:val="single" w:sz="6" w:space="0" w:color="auto"/>
              <w:left w:val="single" w:sz="6" w:space="0" w:color="auto"/>
              <w:bottom w:val="single" w:sz="6" w:space="0" w:color="auto"/>
              <w:right w:val="single" w:sz="6" w:space="0" w:color="auto"/>
            </w:tcBorders>
          </w:tcPr>
          <w:p w14:paraId="4F10ED2C" w14:textId="77777777" w:rsidR="00881BC9" w:rsidRPr="00392E0D" w:rsidRDefault="00881BC9" w:rsidP="006E111A">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w:t>
            </w:r>
          </w:p>
        </w:tc>
      </w:tr>
    </w:tbl>
    <w:p w14:paraId="0A193703" w14:textId="77777777" w:rsidR="004D6E7D" w:rsidRPr="00392E0D" w:rsidRDefault="004D6E7D">
      <w:pPr>
        <w:widowControl/>
        <w:autoSpaceDE/>
        <w:autoSpaceDN/>
        <w:rPr>
          <w:rFonts w:ascii="Arial" w:eastAsia="Times New Roman" w:hAnsi="Arial" w:cs="Arial"/>
          <w:sz w:val="21"/>
          <w:szCs w:val="20"/>
        </w:rPr>
      </w:pPr>
      <w:r w:rsidRPr="00392E0D">
        <w:rPr>
          <w:rFonts w:ascii="Arial" w:hAnsi="Arial" w:cs="Arial"/>
        </w:rPr>
        <w:br w:type="page"/>
      </w:r>
    </w:p>
    <w:p w14:paraId="04601462" w14:textId="77777777" w:rsidR="004D6E7D" w:rsidRPr="00392E0D" w:rsidRDefault="004D6E7D" w:rsidP="001E1A5B">
      <w:pPr>
        <w:pStyle w:val="Heading1"/>
        <w:rPr>
          <w:rFonts w:cs="Arial"/>
        </w:rPr>
      </w:pPr>
      <w:bookmarkStart w:id="12" w:name="_Toc99530575"/>
      <w:r w:rsidRPr="00392E0D">
        <w:rPr>
          <w:rFonts w:cs="Arial"/>
        </w:rPr>
        <w:lastRenderedPageBreak/>
        <w:t>Geographic</w:t>
      </w:r>
      <w:r w:rsidRPr="00392E0D">
        <w:rPr>
          <w:rFonts w:cs="Arial"/>
          <w:spacing w:val="-27"/>
        </w:rPr>
        <w:t xml:space="preserve"> </w:t>
      </w:r>
      <w:r w:rsidRPr="00392E0D">
        <w:rPr>
          <w:rFonts w:cs="Arial"/>
        </w:rPr>
        <w:t>location</w:t>
      </w:r>
      <w:r w:rsidRPr="00392E0D">
        <w:rPr>
          <w:rFonts w:cs="Arial"/>
          <w:spacing w:val="-27"/>
        </w:rPr>
        <w:t xml:space="preserve"> </w:t>
      </w:r>
      <w:r w:rsidRPr="00392E0D">
        <w:rPr>
          <w:rFonts w:cs="Arial"/>
        </w:rPr>
        <w:t>(Remoteness)</w:t>
      </w:r>
      <w:bookmarkEnd w:id="12"/>
    </w:p>
    <w:p w14:paraId="2DC5A658" w14:textId="77777777" w:rsidR="004D6E7D" w:rsidRPr="00392E0D" w:rsidRDefault="004D6E7D" w:rsidP="004D6E7D">
      <w:pPr>
        <w:pStyle w:val="Heading2"/>
        <w:rPr>
          <w:rFonts w:cs="Arial"/>
        </w:rPr>
      </w:pPr>
      <w:r w:rsidRPr="00392E0D">
        <w:rPr>
          <w:rFonts w:cs="Arial"/>
        </w:rPr>
        <w:t>Summary indicators</w:t>
      </w:r>
    </w:p>
    <w:p w14:paraId="128B3DA9" w14:textId="77777777" w:rsidR="004D6E7D" w:rsidRPr="00392E0D" w:rsidRDefault="004D6E7D" w:rsidP="004D6E7D">
      <w:pPr>
        <w:pStyle w:val="Body"/>
        <w:rPr>
          <w:rFonts w:cs="Arial"/>
        </w:rPr>
      </w:pPr>
      <w:r w:rsidRPr="00392E0D">
        <w:rPr>
          <w:rFonts w:cs="Arial"/>
        </w:rPr>
        <w:t>Children living in major cities are less likely to be developmentally vulnerable on the AEDC domains than those who live outside the major cities, although this gap has fluctuated from 2009 to 2021.</w:t>
      </w:r>
    </w:p>
    <w:p w14:paraId="02C93F03" w14:textId="77777777" w:rsidR="004D6E7D" w:rsidRPr="00392E0D" w:rsidRDefault="004D6E7D" w:rsidP="004D6E7D">
      <w:pPr>
        <w:pStyle w:val="Body"/>
        <w:rPr>
          <w:rFonts w:cs="Arial"/>
        </w:rPr>
      </w:pPr>
      <w:r w:rsidRPr="00392E0D">
        <w:rPr>
          <w:rFonts w:cs="Arial"/>
        </w:rPr>
        <w:t>The percentage of children from major cities who were developmentally vulnerable on one or more domain(s) decreased gradually between baseline (22.4 per cent) and 2018 (20.8 per cent) and remained steady in 2021 (20.8 per cent). Whereas, for children living outside the major cities, the percentage vulnerable on one or more domains increased between 2018 and 2021 (by 1.4 percentage points for inner regional / outer regional children and 0.3 percentage points for remote / very remote children) but remains lower than baseline.</w:t>
      </w:r>
    </w:p>
    <w:p w14:paraId="7D82F58E" w14:textId="77777777" w:rsidR="004D6E7D" w:rsidRPr="00392E0D" w:rsidRDefault="004D6E7D" w:rsidP="004D6E7D">
      <w:pPr>
        <w:pStyle w:val="Body"/>
        <w:rPr>
          <w:rFonts w:cs="Arial"/>
        </w:rPr>
      </w:pPr>
      <w:r w:rsidRPr="00392E0D">
        <w:rPr>
          <w:rFonts w:cs="Arial"/>
        </w:rPr>
        <w:t>Conversely, the percentage of children who were developmentally vulnerable on two or more domains increased in 2021 for all geographic locations except those living in very remote locations, which decreased by 0.7 percentage points, however it is important to note that this comprises a relatively small number of children. The gap between those living in major cities and remote / very remote locations on this summary indicator has been closing since 2015.</w:t>
      </w:r>
    </w:p>
    <w:p w14:paraId="6A938597" w14:textId="0FEBC030" w:rsidR="004D6E7D" w:rsidRPr="00392E0D" w:rsidRDefault="004D6E7D" w:rsidP="004D6E7D">
      <w:pPr>
        <w:pStyle w:val="Body"/>
        <w:rPr>
          <w:rFonts w:cs="Arial"/>
        </w:rPr>
      </w:pPr>
      <w:r w:rsidRPr="00392E0D">
        <w:rPr>
          <w:rFonts w:cs="Arial"/>
        </w:rPr>
        <w:t>There was a decrease in the percentage of children on track on five domains in all geographic locations from 2018 to 2021, most notably those living in inner regional / outer regional locations (1.8 percentage points).</w:t>
      </w:r>
    </w:p>
    <w:p w14:paraId="0E1CB27A" w14:textId="77777777" w:rsidR="004D6E7D" w:rsidRPr="00392E0D" w:rsidRDefault="004D6E7D" w:rsidP="004D6E7D">
      <w:pPr>
        <w:pStyle w:val="Heading2"/>
        <w:rPr>
          <w:rFonts w:cs="Arial"/>
        </w:rPr>
      </w:pPr>
      <w:r w:rsidRPr="00392E0D">
        <w:rPr>
          <w:rFonts w:cs="Arial"/>
        </w:rPr>
        <w:t>Results by domain</w:t>
      </w:r>
    </w:p>
    <w:p w14:paraId="206C971D" w14:textId="32E1CDC2" w:rsidR="004D6E7D" w:rsidRPr="00392E0D" w:rsidRDefault="004D6E7D" w:rsidP="004D6E7D">
      <w:pPr>
        <w:pStyle w:val="Body"/>
        <w:rPr>
          <w:rFonts w:cs="Arial"/>
        </w:rPr>
      </w:pPr>
      <w:r w:rsidRPr="00392E0D">
        <w:rPr>
          <w:rFonts w:cs="Arial"/>
        </w:rPr>
        <w:t>The gap between those living in major cities and those in remote / very remote locations narrowed on several domains in 2021. On the physical health and wellbeing domain, the gap narrowed by 0.6 percentage points in 2021 after increasing between 2012 – 2018. Specifically, there was decreased vulnerability among children in remote / very remote locations (0.4 percentage points) plus a small increase in vulnerability for children from major cities (0.2 percentage points).</w:t>
      </w:r>
    </w:p>
    <w:p w14:paraId="00EDE405" w14:textId="77777777" w:rsidR="004D6E7D" w:rsidRPr="00392E0D" w:rsidRDefault="004D6E7D" w:rsidP="004D6E7D">
      <w:pPr>
        <w:pStyle w:val="Body"/>
        <w:rPr>
          <w:rFonts w:cs="Arial"/>
        </w:rPr>
      </w:pPr>
      <w:r w:rsidRPr="00392E0D">
        <w:rPr>
          <w:rFonts w:cs="Arial"/>
        </w:rPr>
        <w:t>The gap on the communication skills and general knowledge domain decreased by 1.5 percentage points in 2021, to the second lowest since baseline, with decreased vulnerability among those in remote / very remote locations.</w:t>
      </w:r>
    </w:p>
    <w:p w14:paraId="415134EF" w14:textId="77777777" w:rsidR="004D6E7D" w:rsidRPr="00392E0D" w:rsidRDefault="004D6E7D" w:rsidP="004D6E7D">
      <w:pPr>
        <w:pStyle w:val="Body"/>
        <w:rPr>
          <w:rFonts w:cs="Arial"/>
        </w:rPr>
      </w:pPr>
      <w:r w:rsidRPr="00392E0D">
        <w:rPr>
          <w:rFonts w:cs="Arial"/>
        </w:rPr>
        <w:t>There was little change in the difference in development between those living in major cities and those in remote / very remote locations on the emotional maturity and social competence domains in 2021 due to small decreases in vulnerability for both groups.</w:t>
      </w:r>
    </w:p>
    <w:p w14:paraId="6368999A" w14:textId="77777777" w:rsidR="004D6E7D" w:rsidRPr="00392E0D" w:rsidRDefault="004D6E7D" w:rsidP="004D6E7D">
      <w:pPr>
        <w:pStyle w:val="Body"/>
        <w:rPr>
          <w:rFonts w:cs="Arial"/>
        </w:rPr>
      </w:pPr>
      <w:r w:rsidRPr="00392E0D">
        <w:rPr>
          <w:rFonts w:cs="Arial"/>
        </w:rPr>
        <w:t>However, the difference in development on these domains is lower than other domains.</w:t>
      </w:r>
    </w:p>
    <w:p w14:paraId="3695275F" w14:textId="7DD857F1" w:rsidR="00504652" w:rsidRPr="00392E0D" w:rsidRDefault="004D6E7D" w:rsidP="004D6E7D">
      <w:pPr>
        <w:pStyle w:val="Body"/>
        <w:rPr>
          <w:rFonts w:cs="Arial"/>
        </w:rPr>
      </w:pPr>
      <w:r w:rsidRPr="00392E0D">
        <w:rPr>
          <w:rFonts w:cs="Arial"/>
        </w:rPr>
        <w:t>The difference in vulnerability between those in major cities and remote / very remote locations is greatest on the language and cognitive domain and widened further in 2021, although not back to baseline level. Whilst there was an increase in vulnerability in both groups in 2021, those in remote / very remote locations were significantly more affected than those in major cities (1.9 percentage points vs 0.6 percentage points respectively).</w:t>
      </w:r>
    </w:p>
    <w:p w14:paraId="6FB2B335" w14:textId="3591DF6E" w:rsidR="00881BC9" w:rsidRPr="00392E0D" w:rsidRDefault="00881BC9">
      <w:pPr>
        <w:widowControl/>
        <w:autoSpaceDE/>
        <w:autoSpaceDN/>
        <w:rPr>
          <w:rFonts w:ascii="Arial" w:eastAsia="Times New Roman" w:hAnsi="Arial" w:cs="Arial"/>
          <w:sz w:val="21"/>
          <w:szCs w:val="20"/>
        </w:rPr>
      </w:pPr>
      <w:r w:rsidRPr="00392E0D">
        <w:rPr>
          <w:rFonts w:ascii="Arial" w:hAnsi="Arial" w:cs="Arial"/>
        </w:rPr>
        <w:br w:type="page"/>
      </w:r>
    </w:p>
    <w:p w14:paraId="379644BE" w14:textId="3A6A4723" w:rsidR="00881BC9" w:rsidRPr="00392E0D" w:rsidRDefault="00881BC9" w:rsidP="00881BC9">
      <w:pPr>
        <w:pStyle w:val="Heading2"/>
        <w:rPr>
          <w:rFonts w:cs="Arial"/>
        </w:rPr>
      </w:pPr>
      <w:r w:rsidRPr="00392E0D">
        <w:rPr>
          <w:rFonts w:cs="Arial"/>
        </w:rPr>
        <w:lastRenderedPageBreak/>
        <w:t>Summary indicators by geographic location</w:t>
      </w:r>
    </w:p>
    <w:p w14:paraId="457F8505" w14:textId="07993AFA" w:rsidR="00881BC9" w:rsidRPr="00392E0D" w:rsidRDefault="00881BC9" w:rsidP="00881BC9">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40</w:t>
      </w:r>
      <w:r w:rsidRPr="00392E0D">
        <w:rPr>
          <w:rFonts w:cs="Arial"/>
        </w:rPr>
        <w:fldChar w:fldCharType="end"/>
      </w:r>
      <w:r w:rsidRPr="00392E0D">
        <w:rPr>
          <w:rFonts w:cs="Arial"/>
        </w:rPr>
        <w:tab/>
      </w:r>
      <w:r w:rsidRPr="00392E0D">
        <w:rPr>
          <w:rFonts w:eastAsiaTheme="minorHAnsi" w:cs="Arial"/>
        </w:rPr>
        <w:t>Percentage of children developmentally vulnerable on one or more domain(s) by Remoteness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881BC9" w:rsidRPr="00392E0D" w14:paraId="785753BA" w14:textId="77777777" w:rsidTr="006E111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39F469A3" w14:textId="77777777" w:rsidR="00881BC9" w:rsidRPr="00392E0D" w:rsidRDefault="00881BC9" w:rsidP="00881BC9">
            <w:pPr>
              <w:widowControl/>
              <w:adjustRightInd w:val="0"/>
              <w:spacing w:before="60" w:after="60"/>
              <w:jc w:val="right"/>
              <w:rPr>
                <w:rFonts w:ascii="Arial" w:eastAsiaTheme="minorHAnsi" w:hAnsi="Arial" w:cs="Arial"/>
                <w:color w:val="000000"/>
                <w:sz w:val="20"/>
                <w:lang w:val="en-AU"/>
              </w:rPr>
            </w:pPr>
          </w:p>
        </w:tc>
        <w:tc>
          <w:tcPr>
            <w:tcW w:w="974" w:type="dxa"/>
            <w:tcBorders>
              <w:top w:val="single" w:sz="6" w:space="0" w:color="auto"/>
              <w:left w:val="single" w:sz="6" w:space="0" w:color="auto"/>
              <w:bottom w:val="single" w:sz="6" w:space="0" w:color="auto"/>
              <w:right w:val="single" w:sz="6" w:space="0" w:color="auto"/>
            </w:tcBorders>
          </w:tcPr>
          <w:p w14:paraId="70855ECA"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47925DA6"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4" w:type="dxa"/>
            <w:tcBorders>
              <w:top w:val="single" w:sz="6" w:space="0" w:color="auto"/>
              <w:left w:val="single" w:sz="6" w:space="0" w:color="auto"/>
              <w:bottom w:val="single" w:sz="6" w:space="0" w:color="auto"/>
              <w:right w:val="single" w:sz="6" w:space="0" w:color="auto"/>
            </w:tcBorders>
          </w:tcPr>
          <w:p w14:paraId="551F834B"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34FCB3DB"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4" w:type="dxa"/>
            <w:tcBorders>
              <w:top w:val="single" w:sz="6" w:space="0" w:color="auto"/>
              <w:left w:val="single" w:sz="6" w:space="0" w:color="auto"/>
              <w:bottom w:val="single" w:sz="6" w:space="0" w:color="auto"/>
              <w:right w:val="single" w:sz="6" w:space="0" w:color="auto"/>
            </w:tcBorders>
          </w:tcPr>
          <w:p w14:paraId="5D8CA9B4"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r>
      <w:tr w:rsidR="00881BC9" w:rsidRPr="00392E0D" w14:paraId="17D128EF"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4933F1A5"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Major Cities</w:t>
            </w:r>
          </w:p>
        </w:tc>
        <w:tc>
          <w:tcPr>
            <w:tcW w:w="974" w:type="dxa"/>
            <w:tcBorders>
              <w:top w:val="single" w:sz="6" w:space="0" w:color="auto"/>
              <w:left w:val="single" w:sz="6" w:space="0" w:color="auto"/>
              <w:bottom w:val="single" w:sz="6" w:space="0" w:color="auto"/>
              <w:right w:val="single" w:sz="6" w:space="0" w:color="auto"/>
            </w:tcBorders>
          </w:tcPr>
          <w:p w14:paraId="68CA1025"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22.4</w:t>
            </w:r>
          </w:p>
        </w:tc>
        <w:tc>
          <w:tcPr>
            <w:tcW w:w="975" w:type="dxa"/>
            <w:tcBorders>
              <w:top w:val="single" w:sz="6" w:space="0" w:color="auto"/>
              <w:left w:val="single" w:sz="6" w:space="0" w:color="auto"/>
              <w:bottom w:val="single" w:sz="6" w:space="0" w:color="auto"/>
              <w:right w:val="single" w:sz="6" w:space="0" w:color="auto"/>
            </w:tcBorders>
          </w:tcPr>
          <w:p w14:paraId="2ADA470A"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21.1</w:t>
            </w:r>
          </w:p>
        </w:tc>
        <w:tc>
          <w:tcPr>
            <w:tcW w:w="974" w:type="dxa"/>
            <w:tcBorders>
              <w:top w:val="single" w:sz="6" w:space="0" w:color="auto"/>
              <w:left w:val="single" w:sz="6" w:space="0" w:color="auto"/>
              <w:bottom w:val="single" w:sz="6" w:space="0" w:color="auto"/>
              <w:right w:val="single" w:sz="6" w:space="0" w:color="auto"/>
            </w:tcBorders>
          </w:tcPr>
          <w:p w14:paraId="12E41E2E"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21.0</w:t>
            </w:r>
          </w:p>
        </w:tc>
        <w:tc>
          <w:tcPr>
            <w:tcW w:w="975" w:type="dxa"/>
            <w:tcBorders>
              <w:top w:val="single" w:sz="6" w:space="0" w:color="auto"/>
              <w:left w:val="single" w:sz="6" w:space="0" w:color="auto"/>
              <w:bottom w:val="single" w:sz="6" w:space="0" w:color="auto"/>
              <w:right w:val="single" w:sz="6" w:space="0" w:color="auto"/>
            </w:tcBorders>
          </w:tcPr>
          <w:p w14:paraId="5466927E"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20.8</w:t>
            </w:r>
          </w:p>
        </w:tc>
        <w:tc>
          <w:tcPr>
            <w:tcW w:w="974" w:type="dxa"/>
            <w:tcBorders>
              <w:top w:val="single" w:sz="6" w:space="0" w:color="auto"/>
              <w:left w:val="single" w:sz="6" w:space="0" w:color="auto"/>
              <w:bottom w:val="single" w:sz="6" w:space="0" w:color="auto"/>
              <w:right w:val="single" w:sz="6" w:space="0" w:color="auto"/>
            </w:tcBorders>
          </w:tcPr>
          <w:p w14:paraId="7E0EC60F"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20.8</w:t>
            </w:r>
          </w:p>
        </w:tc>
      </w:tr>
      <w:tr w:rsidR="00881BC9" w:rsidRPr="00392E0D" w14:paraId="74D3E6F2"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4E1C197D"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Inner Regional / Outer Regional</w:t>
            </w:r>
          </w:p>
        </w:tc>
        <w:tc>
          <w:tcPr>
            <w:tcW w:w="974" w:type="dxa"/>
            <w:tcBorders>
              <w:top w:val="single" w:sz="6" w:space="0" w:color="auto"/>
              <w:left w:val="single" w:sz="6" w:space="0" w:color="auto"/>
              <w:bottom w:val="single" w:sz="6" w:space="0" w:color="auto"/>
              <w:right w:val="single" w:sz="6" w:space="0" w:color="auto"/>
            </w:tcBorders>
          </w:tcPr>
          <w:p w14:paraId="270AA0E3"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25.0</w:t>
            </w:r>
          </w:p>
        </w:tc>
        <w:tc>
          <w:tcPr>
            <w:tcW w:w="975" w:type="dxa"/>
            <w:tcBorders>
              <w:top w:val="single" w:sz="6" w:space="0" w:color="auto"/>
              <w:left w:val="single" w:sz="6" w:space="0" w:color="auto"/>
              <w:bottom w:val="single" w:sz="6" w:space="0" w:color="auto"/>
              <w:right w:val="single" w:sz="6" w:space="0" w:color="auto"/>
            </w:tcBorders>
          </w:tcPr>
          <w:p w14:paraId="5DCADB16"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23.3</w:t>
            </w:r>
          </w:p>
        </w:tc>
        <w:tc>
          <w:tcPr>
            <w:tcW w:w="974" w:type="dxa"/>
            <w:tcBorders>
              <w:top w:val="single" w:sz="6" w:space="0" w:color="auto"/>
              <w:left w:val="single" w:sz="6" w:space="0" w:color="auto"/>
              <w:bottom w:val="single" w:sz="6" w:space="0" w:color="auto"/>
              <w:right w:val="single" w:sz="6" w:space="0" w:color="auto"/>
            </w:tcBorders>
          </w:tcPr>
          <w:p w14:paraId="4A43C4CA"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23.4</w:t>
            </w:r>
          </w:p>
        </w:tc>
        <w:tc>
          <w:tcPr>
            <w:tcW w:w="975" w:type="dxa"/>
            <w:tcBorders>
              <w:top w:val="single" w:sz="6" w:space="0" w:color="auto"/>
              <w:left w:val="single" w:sz="6" w:space="0" w:color="auto"/>
              <w:bottom w:val="single" w:sz="6" w:space="0" w:color="auto"/>
              <w:right w:val="single" w:sz="6" w:space="0" w:color="auto"/>
            </w:tcBorders>
          </w:tcPr>
          <w:p w14:paraId="24E16582"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23.0</w:t>
            </w:r>
          </w:p>
        </w:tc>
        <w:tc>
          <w:tcPr>
            <w:tcW w:w="974" w:type="dxa"/>
            <w:tcBorders>
              <w:top w:val="single" w:sz="6" w:space="0" w:color="auto"/>
              <w:left w:val="single" w:sz="6" w:space="0" w:color="auto"/>
              <w:bottom w:val="single" w:sz="6" w:space="0" w:color="auto"/>
              <w:right w:val="single" w:sz="6" w:space="0" w:color="auto"/>
            </w:tcBorders>
          </w:tcPr>
          <w:p w14:paraId="75FFE3D2"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24.4</w:t>
            </w:r>
          </w:p>
        </w:tc>
      </w:tr>
      <w:tr w:rsidR="00881BC9" w:rsidRPr="00392E0D" w14:paraId="0DB563ED"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004FD544"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Remote / Very Remote</w:t>
            </w:r>
          </w:p>
        </w:tc>
        <w:tc>
          <w:tcPr>
            <w:tcW w:w="974" w:type="dxa"/>
            <w:tcBorders>
              <w:top w:val="single" w:sz="6" w:space="0" w:color="auto"/>
              <w:left w:val="single" w:sz="6" w:space="0" w:color="auto"/>
              <w:bottom w:val="single" w:sz="6" w:space="0" w:color="auto"/>
              <w:right w:val="single" w:sz="6" w:space="0" w:color="auto"/>
            </w:tcBorders>
          </w:tcPr>
          <w:p w14:paraId="11B55537"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37.0</w:t>
            </w:r>
          </w:p>
        </w:tc>
        <w:tc>
          <w:tcPr>
            <w:tcW w:w="975" w:type="dxa"/>
            <w:tcBorders>
              <w:top w:val="single" w:sz="6" w:space="0" w:color="auto"/>
              <w:left w:val="single" w:sz="6" w:space="0" w:color="auto"/>
              <w:bottom w:val="single" w:sz="6" w:space="0" w:color="auto"/>
              <w:right w:val="single" w:sz="6" w:space="0" w:color="auto"/>
            </w:tcBorders>
          </w:tcPr>
          <w:p w14:paraId="7492EBB5"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33.2</w:t>
            </w:r>
          </w:p>
        </w:tc>
        <w:tc>
          <w:tcPr>
            <w:tcW w:w="974" w:type="dxa"/>
            <w:tcBorders>
              <w:top w:val="single" w:sz="6" w:space="0" w:color="auto"/>
              <w:left w:val="single" w:sz="6" w:space="0" w:color="auto"/>
              <w:bottom w:val="single" w:sz="6" w:space="0" w:color="auto"/>
              <w:right w:val="single" w:sz="6" w:space="0" w:color="auto"/>
            </w:tcBorders>
          </w:tcPr>
          <w:p w14:paraId="436966F6"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35.3</w:t>
            </w:r>
          </w:p>
        </w:tc>
        <w:tc>
          <w:tcPr>
            <w:tcW w:w="975" w:type="dxa"/>
            <w:tcBorders>
              <w:top w:val="single" w:sz="6" w:space="0" w:color="auto"/>
              <w:left w:val="single" w:sz="6" w:space="0" w:color="auto"/>
              <w:bottom w:val="single" w:sz="6" w:space="0" w:color="auto"/>
              <w:right w:val="single" w:sz="6" w:space="0" w:color="auto"/>
            </w:tcBorders>
          </w:tcPr>
          <w:p w14:paraId="3D9FC01D"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34.1</w:t>
            </w:r>
          </w:p>
        </w:tc>
        <w:tc>
          <w:tcPr>
            <w:tcW w:w="974" w:type="dxa"/>
            <w:tcBorders>
              <w:top w:val="single" w:sz="6" w:space="0" w:color="auto"/>
              <w:left w:val="single" w:sz="6" w:space="0" w:color="auto"/>
              <w:bottom w:val="single" w:sz="6" w:space="0" w:color="auto"/>
              <w:right w:val="single" w:sz="6" w:space="0" w:color="auto"/>
            </w:tcBorders>
          </w:tcPr>
          <w:p w14:paraId="3499DCB9"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34.4</w:t>
            </w:r>
          </w:p>
        </w:tc>
      </w:tr>
    </w:tbl>
    <w:p w14:paraId="38B6C0CB" w14:textId="0528002B" w:rsidR="00881BC9" w:rsidRPr="00392E0D" w:rsidRDefault="00881BC9" w:rsidP="00881BC9">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41</w:t>
      </w:r>
      <w:r w:rsidRPr="00392E0D">
        <w:rPr>
          <w:rFonts w:cs="Arial"/>
        </w:rPr>
        <w:fldChar w:fldCharType="end"/>
      </w:r>
      <w:r w:rsidRPr="00392E0D">
        <w:rPr>
          <w:rFonts w:cs="Arial"/>
        </w:rPr>
        <w:tab/>
      </w:r>
      <w:r w:rsidRPr="00392E0D">
        <w:rPr>
          <w:rFonts w:eastAsiaTheme="minorHAnsi" w:cs="Arial"/>
          <w:lang w:val="en-AU"/>
        </w:rPr>
        <w:t>Percentage of children developmentally vulnerable on two or more domains by Remoteness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881BC9" w:rsidRPr="00392E0D" w14:paraId="6203B72A" w14:textId="77777777" w:rsidTr="006E111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B965E90" w14:textId="77777777" w:rsidR="00881BC9" w:rsidRPr="00392E0D" w:rsidRDefault="00881BC9" w:rsidP="00881BC9">
            <w:pPr>
              <w:widowControl/>
              <w:adjustRightInd w:val="0"/>
              <w:spacing w:before="60" w:after="60"/>
              <w:jc w:val="right"/>
              <w:rPr>
                <w:rFonts w:ascii="Arial" w:eastAsiaTheme="minorHAnsi" w:hAnsi="Arial" w:cs="Arial"/>
                <w:color w:val="000000"/>
                <w:sz w:val="20"/>
                <w:lang w:val="en-AU"/>
              </w:rPr>
            </w:pPr>
          </w:p>
        </w:tc>
        <w:tc>
          <w:tcPr>
            <w:tcW w:w="974" w:type="dxa"/>
            <w:tcBorders>
              <w:top w:val="single" w:sz="6" w:space="0" w:color="auto"/>
              <w:left w:val="single" w:sz="6" w:space="0" w:color="auto"/>
              <w:bottom w:val="single" w:sz="6" w:space="0" w:color="auto"/>
              <w:right w:val="single" w:sz="6" w:space="0" w:color="auto"/>
            </w:tcBorders>
          </w:tcPr>
          <w:p w14:paraId="02B6A8D6"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3477CA39"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4" w:type="dxa"/>
            <w:tcBorders>
              <w:top w:val="single" w:sz="6" w:space="0" w:color="auto"/>
              <w:left w:val="single" w:sz="6" w:space="0" w:color="auto"/>
              <w:bottom w:val="single" w:sz="6" w:space="0" w:color="auto"/>
              <w:right w:val="single" w:sz="6" w:space="0" w:color="auto"/>
            </w:tcBorders>
          </w:tcPr>
          <w:p w14:paraId="7295B430"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742E9137"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4" w:type="dxa"/>
            <w:tcBorders>
              <w:top w:val="single" w:sz="6" w:space="0" w:color="auto"/>
              <w:left w:val="single" w:sz="6" w:space="0" w:color="auto"/>
              <w:bottom w:val="single" w:sz="6" w:space="0" w:color="auto"/>
              <w:right w:val="single" w:sz="6" w:space="0" w:color="auto"/>
            </w:tcBorders>
          </w:tcPr>
          <w:p w14:paraId="3985EDE2"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r>
      <w:tr w:rsidR="00881BC9" w:rsidRPr="00392E0D" w14:paraId="4630125E"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4396ABB6"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Major Cities</w:t>
            </w:r>
          </w:p>
        </w:tc>
        <w:tc>
          <w:tcPr>
            <w:tcW w:w="974" w:type="dxa"/>
            <w:tcBorders>
              <w:top w:val="single" w:sz="6" w:space="0" w:color="auto"/>
              <w:left w:val="single" w:sz="6" w:space="0" w:color="auto"/>
              <w:bottom w:val="single" w:sz="6" w:space="0" w:color="auto"/>
              <w:right w:val="single" w:sz="6" w:space="0" w:color="auto"/>
            </w:tcBorders>
          </w:tcPr>
          <w:p w14:paraId="06463CB6"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11.0</w:t>
            </w:r>
          </w:p>
        </w:tc>
        <w:tc>
          <w:tcPr>
            <w:tcW w:w="975" w:type="dxa"/>
            <w:tcBorders>
              <w:top w:val="single" w:sz="6" w:space="0" w:color="auto"/>
              <w:left w:val="single" w:sz="6" w:space="0" w:color="auto"/>
              <w:bottom w:val="single" w:sz="6" w:space="0" w:color="auto"/>
              <w:right w:val="single" w:sz="6" w:space="0" w:color="auto"/>
            </w:tcBorders>
          </w:tcPr>
          <w:p w14:paraId="4F93D28E"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10.1</w:t>
            </w:r>
          </w:p>
        </w:tc>
        <w:tc>
          <w:tcPr>
            <w:tcW w:w="974" w:type="dxa"/>
            <w:tcBorders>
              <w:top w:val="single" w:sz="6" w:space="0" w:color="auto"/>
              <w:left w:val="single" w:sz="6" w:space="0" w:color="auto"/>
              <w:bottom w:val="single" w:sz="6" w:space="0" w:color="auto"/>
              <w:right w:val="single" w:sz="6" w:space="0" w:color="auto"/>
            </w:tcBorders>
          </w:tcPr>
          <w:p w14:paraId="75017384"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10.2</w:t>
            </w:r>
          </w:p>
        </w:tc>
        <w:tc>
          <w:tcPr>
            <w:tcW w:w="975" w:type="dxa"/>
            <w:tcBorders>
              <w:top w:val="single" w:sz="6" w:space="0" w:color="auto"/>
              <w:left w:val="single" w:sz="6" w:space="0" w:color="auto"/>
              <w:bottom w:val="single" w:sz="6" w:space="0" w:color="auto"/>
              <w:right w:val="single" w:sz="6" w:space="0" w:color="auto"/>
            </w:tcBorders>
          </w:tcPr>
          <w:p w14:paraId="53B9784D"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10.2</w:t>
            </w:r>
          </w:p>
        </w:tc>
        <w:tc>
          <w:tcPr>
            <w:tcW w:w="974" w:type="dxa"/>
            <w:tcBorders>
              <w:top w:val="single" w:sz="6" w:space="0" w:color="auto"/>
              <w:left w:val="single" w:sz="6" w:space="0" w:color="auto"/>
              <w:bottom w:val="single" w:sz="6" w:space="0" w:color="auto"/>
              <w:right w:val="single" w:sz="6" w:space="0" w:color="auto"/>
            </w:tcBorders>
          </w:tcPr>
          <w:p w14:paraId="0D490ACD"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10.5</w:t>
            </w:r>
          </w:p>
        </w:tc>
      </w:tr>
      <w:tr w:rsidR="00881BC9" w:rsidRPr="00392E0D" w14:paraId="24987A15"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3D3D8D52"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Inner Regional / Outer Regional</w:t>
            </w:r>
          </w:p>
        </w:tc>
        <w:tc>
          <w:tcPr>
            <w:tcW w:w="974" w:type="dxa"/>
            <w:tcBorders>
              <w:top w:val="single" w:sz="6" w:space="0" w:color="auto"/>
              <w:left w:val="single" w:sz="6" w:space="0" w:color="auto"/>
              <w:bottom w:val="single" w:sz="6" w:space="0" w:color="auto"/>
              <w:right w:val="single" w:sz="6" w:space="0" w:color="auto"/>
            </w:tcBorders>
          </w:tcPr>
          <w:p w14:paraId="7D634F36"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13.0</w:t>
            </w:r>
          </w:p>
        </w:tc>
        <w:tc>
          <w:tcPr>
            <w:tcW w:w="975" w:type="dxa"/>
            <w:tcBorders>
              <w:top w:val="single" w:sz="6" w:space="0" w:color="auto"/>
              <w:left w:val="single" w:sz="6" w:space="0" w:color="auto"/>
              <w:bottom w:val="single" w:sz="6" w:space="0" w:color="auto"/>
              <w:right w:val="single" w:sz="6" w:space="0" w:color="auto"/>
            </w:tcBorders>
          </w:tcPr>
          <w:p w14:paraId="65E2D54F"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11.9</w:t>
            </w:r>
          </w:p>
        </w:tc>
        <w:tc>
          <w:tcPr>
            <w:tcW w:w="974" w:type="dxa"/>
            <w:tcBorders>
              <w:top w:val="single" w:sz="6" w:space="0" w:color="auto"/>
              <w:left w:val="single" w:sz="6" w:space="0" w:color="auto"/>
              <w:bottom w:val="single" w:sz="6" w:space="0" w:color="auto"/>
              <w:right w:val="single" w:sz="6" w:space="0" w:color="auto"/>
            </w:tcBorders>
          </w:tcPr>
          <w:p w14:paraId="4A1E19EE"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12.2</w:t>
            </w:r>
          </w:p>
        </w:tc>
        <w:tc>
          <w:tcPr>
            <w:tcW w:w="975" w:type="dxa"/>
            <w:tcBorders>
              <w:top w:val="single" w:sz="6" w:space="0" w:color="auto"/>
              <w:left w:val="single" w:sz="6" w:space="0" w:color="auto"/>
              <w:bottom w:val="single" w:sz="6" w:space="0" w:color="auto"/>
              <w:right w:val="single" w:sz="6" w:space="0" w:color="auto"/>
            </w:tcBorders>
          </w:tcPr>
          <w:p w14:paraId="7FD59E51"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12.4</w:t>
            </w:r>
          </w:p>
        </w:tc>
        <w:tc>
          <w:tcPr>
            <w:tcW w:w="974" w:type="dxa"/>
            <w:tcBorders>
              <w:top w:val="single" w:sz="6" w:space="0" w:color="auto"/>
              <w:left w:val="single" w:sz="6" w:space="0" w:color="auto"/>
              <w:bottom w:val="single" w:sz="6" w:space="0" w:color="auto"/>
              <w:right w:val="single" w:sz="6" w:space="0" w:color="auto"/>
            </w:tcBorders>
          </w:tcPr>
          <w:p w14:paraId="412787FB"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13.1</w:t>
            </w:r>
          </w:p>
        </w:tc>
      </w:tr>
      <w:tr w:rsidR="00881BC9" w:rsidRPr="00392E0D" w14:paraId="4F15180C"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08903F90"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Remote / Very Remote</w:t>
            </w:r>
          </w:p>
        </w:tc>
        <w:tc>
          <w:tcPr>
            <w:tcW w:w="974" w:type="dxa"/>
            <w:tcBorders>
              <w:top w:val="single" w:sz="6" w:space="0" w:color="auto"/>
              <w:left w:val="single" w:sz="6" w:space="0" w:color="auto"/>
              <w:bottom w:val="single" w:sz="6" w:space="0" w:color="auto"/>
              <w:right w:val="single" w:sz="6" w:space="0" w:color="auto"/>
            </w:tcBorders>
          </w:tcPr>
          <w:p w14:paraId="20E3392D"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22.0</w:t>
            </w:r>
          </w:p>
        </w:tc>
        <w:tc>
          <w:tcPr>
            <w:tcW w:w="975" w:type="dxa"/>
            <w:tcBorders>
              <w:top w:val="single" w:sz="6" w:space="0" w:color="auto"/>
              <w:left w:val="single" w:sz="6" w:space="0" w:color="auto"/>
              <w:bottom w:val="single" w:sz="6" w:space="0" w:color="auto"/>
              <w:right w:val="single" w:sz="6" w:space="0" w:color="auto"/>
            </w:tcBorders>
          </w:tcPr>
          <w:p w14:paraId="48154039"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19.0</w:t>
            </w:r>
          </w:p>
        </w:tc>
        <w:tc>
          <w:tcPr>
            <w:tcW w:w="974" w:type="dxa"/>
            <w:tcBorders>
              <w:top w:val="single" w:sz="6" w:space="0" w:color="auto"/>
              <w:left w:val="single" w:sz="6" w:space="0" w:color="auto"/>
              <w:bottom w:val="single" w:sz="6" w:space="0" w:color="auto"/>
              <w:right w:val="single" w:sz="6" w:space="0" w:color="auto"/>
            </w:tcBorders>
          </w:tcPr>
          <w:p w14:paraId="724DB27B"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22.0</w:t>
            </w:r>
          </w:p>
        </w:tc>
        <w:tc>
          <w:tcPr>
            <w:tcW w:w="975" w:type="dxa"/>
            <w:tcBorders>
              <w:top w:val="single" w:sz="6" w:space="0" w:color="auto"/>
              <w:left w:val="single" w:sz="6" w:space="0" w:color="auto"/>
              <w:bottom w:val="single" w:sz="6" w:space="0" w:color="auto"/>
              <w:right w:val="single" w:sz="6" w:space="0" w:color="auto"/>
            </w:tcBorders>
          </w:tcPr>
          <w:p w14:paraId="29C5087A"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20.9</w:t>
            </w:r>
          </w:p>
        </w:tc>
        <w:tc>
          <w:tcPr>
            <w:tcW w:w="974" w:type="dxa"/>
            <w:tcBorders>
              <w:top w:val="single" w:sz="6" w:space="0" w:color="auto"/>
              <w:left w:val="single" w:sz="6" w:space="0" w:color="auto"/>
              <w:bottom w:val="single" w:sz="6" w:space="0" w:color="auto"/>
              <w:right w:val="single" w:sz="6" w:space="0" w:color="auto"/>
            </w:tcBorders>
          </w:tcPr>
          <w:p w14:paraId="06E30A76"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20.7</w:t>
            </w:r>
          </w:p>
        </w:tc>
      </w:tr>
    </w:tbl>
    <w:p w14:paraId="6A53CBB9" w14:textId="35B6DB06" w:rsidR="00881BC9" w:rsidRPr="00392E0D" w:rsidRDefault="00881BC9" w:rsidP="006E111A">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42</w:t>
      </w:r>
      <w:r w:rsidRPr="00392E0D">
        <w:rPr>
          <w:rFonts w:cs="Arial"/>
        </w:rPr>
        <w:fldChar w:fldCharType="end"/>
      </w:r>
      <w:r w:rsidRPr="00392E0D">
        <w:rPr>
          <w:rFonts w:cs="Arial"/>
        </w:rPr>
        <w:tab/>
      </w:r>
      <w:r w:rsidRPr="00392E0D">
        <w:rPr>
          <w:rFonts w:eastAsiaTheme="minorHAnsi" w:cs="Arial"/>
          <w:lang w:val="en-AU"/>
        </w:rPr>
        <w:t>Percentage of children developmentally on track on five domains by Remoteness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881BC9" w:rsidRPr="00392E0D" w14:paraId="49E1DE52" w14:textId="77777777" w:rsidTr="006E111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0CD4E68" w14:textId="77777777" w:rsidR="00881BC9" w:rsidRPr="00392E0D" w:rsidRDefault="00881BC9" w:rsidP="00881BC9">
            <w:pPr>
              <w:widowControl/>
              <w:adjustRightInd w:val="0"/>
              <w:spacing w:before="60" w:after="60"/>
              <w:jc w:val="right"/>
              <w:rPr>
                <w:rFonts w:ascii="Arial" w:eastAsiaTheme="minorHAnsi" w:hAnsi="Arial" w:cs="Arial"/>
                <w:color w:val="000000"/>
                <w:sz w:val="20"/>
                <w:lang w:val="en-AU"/>
              </w:rPr>
            </w:pPr>
          </w:p>
        </w:tc>
        <w:tc>
          <w:tcPr>
            <w:tcW w:w="974" w:type="dxa"/>
            <w:tcBorders>
              <w:top w:val="single" w:sz="6" w:space="0" w:color="auto"/>
              <w:left w:val="single" w:sz="6" w:space="0" w:color="auto"/>
              <w:bottom w:val="single" w:sz="6" w:space="0" w:color="auto"/>
              <w:right w:val="single" w:sz="6" w:space="0" w:color="auto"/>
            </w:tcBorders>
          </w:tcPr>
          <w:p w14:paraId="3F45CF23"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74284602"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4" w:type="dxa"/>
            <w:tcBorders>
              <w:top w:val="single" w:sz="6" w:space="0" w:color="auto"/>
              <w:left w:val="single" w:sz="6" w:space="0" w:color="auto"/>
              <w:bottom w:val="single" w:sz="6" w:space="0" w:color="auto"/>
              <w:right w:val="single" w:sz="6" w:space="0" w:color="auto"/>
            </w:tcBorders>
          </w:tcPr>
          <w:p w14:paraId="4812A1D4"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0DD71976"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4" w:type="dxa"/>
            <w:tcBorders>
              <w:top w:val="single" w:sz="6" w:space="0" w:color="auto"/>
              <w:left w:val="single" w:sz="6" w:space="0" w:color="auto"/>
              <w:bottom w:val="single" w:sz="6" w:space="0" w:color="auto"/>
              <w:right w:val="single" w:sz="6" w:space="0" w:color="auto"/>
            </w:tcBorders>
          </w:tcPr>
          <w:p w14:paraId="0FF8765F" w14:textId="77777777" w:rsidR="00881BC9" w:rsidRPr="00392E0D" w:rsidRDefault="00881BC9" w:rsidP="00881BC9">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r>
      <w:tr w:rsidR="00881BC9" w:rsidRPr="00392E0D" w14:paraId="0D813EC5"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791AD863"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Major Cities</w:t>
            </w:r>
          </w:p>
        </w:tc>
        <w:tc>
          <w:tcPr>
            <w:tcW w:w="974" w:type="dxa"/>
            <w:tcBorders>
              <w:top w:val="single" w:sz="6" w:space="0" w:color="auto"/>
              <w:left w:val="single" w:sz="6" w:space="0" w:color="auto"/>
              <w:bottom w:val="single" w:sz="6" w:space="0" w:color="auto"/>
              <w:right w:val="single" w:sz="6" w:space="0" w:color="auto"/>
            </w:tcBorders>
          </w:tcPr>
          <w:p w14:paraId="15EC3DB0"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52.2</w:t>
            </w:r>
          </w:p>
        </w:tc>
        <w:tc>
          <w:tcPr>
            <w:tcW w:w="975" w:type="dxa"/>
            <w:tcBorders>
              <w:top w:val="single" w:sz="6" w:space="0" w:color="auto"/>
              <w:left w:val="single" w:sz="6" w:space="0" w:color="auto"/>
              <w:bottom w:val="single" w:sz="6" w:space="0" w:color="auto"/>
              <w:right w:val="single" w:sz="6" w:space="0" w:color="auto"/>
            </w:tcBorders>
          </w:tcPr>
          <w:p w14:paraId="230735D2"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54.8</w:t>
            </w:r>
          </w:p>
        </w:tc>
        <w:tc>
          <w:tcPr>
            <w:tcW w:w="974" w:type="dxa"/>
            <w:tcBorders>
              <w:top w:val="single" w:sz="6" w:space="0" w:color="auto"/>
              <w:left w:val="single" w:sz="6" w:space="0" w:color="auto"/>
              <w:bottom w:val="single" w:sz="6" w:space="0" w:color="auto"/>
              <w:right w:val="single" w:sz="6" w:space="0" w:color="auto"/>
            </w:tcBorders>
          </w:tcPr>
          <w:p w14:paraId="66A88B8F"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55.2</w:t>
            </w:r>
          </w:p>
        </w:tc>
        <w:tc>
          <w:tcPr>
            <w:tcW w:w="975" w:type="dxa"/>
            <w:tcBorders>
              <w:top w:val="single" w:sz="6" w:space="0" w:color="auto"/>
              <w:left w:val="single" w:sz="6" w:space="0" w:color="auto"/>
              <w:bottom w:val="single" w:sz="6" w:space="0" w:color="auto"/>
              <w:right w:val="single" w:sz="6" w:space="0" w:color="auto"/>
            </w:tcBorders>
          </w:tcPr>
          <w:p w14:paraId="6AFED7B8"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56.2</w:t>
            </w:r>
          </w:p>
        </w:tc>
        <w:tc>
          <w:tcPr>
            <w:tcW w:w="974" w:type="dxa"/>
            <w:tcBorders>
              <w:top w:val="single" w:sz="6" w:space="0" w:color="auto"/>
              <w:left w:val="single" w:sz="6" w:space="0" w:color="auto"/>
              <w:bottom w:val="single" w:sz="6" w:space="0" w:color="auto"/>
              <w:right w:val="single" w:sz="6" w:space="0" w:color="auto"/>
            </w:tcBorders>
          </w:tcPr>
          <w:p w14:paraId="4DA6A7D4"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56.0</w:t>
            </w:r>
          </w:p>
        </w:tc>
      </w:tr>
      <w:tr w:rsidR="00881BC9" w:rsidRPr="00392E0D" w14:paraId="76C5D8C0"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3251BB5F"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Inner Regional / Outer Regional</w:t>
            </w:r>
          </w:p>
        </w:tc>
        <w:tc>
          <w:tcPr>
            <w:tcW w:w="974" w:type="dxa"/>
            <w:tcBorders>
              <w:top w:val="single" w:sz="6" w:space="0" w:color="auto"/>
              <w:left w:val="single" w:sz="6" w:space="0" w:color="auto"/>
              <w:bottom w:val="single" w:sz="6" w:space="0" w:color="auto"/>
              <w:right w:val="single" w:sz="6" w:space="0" w:color="auto"/>
            </w:tcBorders>
          </w:tcPr>
          <w:p w14:paraId="048E0102"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48.5</w:t>
            </w:r>
          </w:p>
        </w:tc>
        <w:tc>
          <w:tcPr>
            <w:tcW w:w="975" w:type="dxa"/>
            <w:tcBorders>
              <w:top w:val="single" w:sz="6" w:space="0" w:color="auto"/>
              <w:left w:val="single" w:sz="6" w:space="0" w:color="auto"/>
              <w:bottom w:val="single" w:sz="6" w:space="0" w:color="auto"/>
              <w:right w:val="single" w:sz="6" w:space="0" w:color="auto"/>
            </w:tcBorders>
          </w:tcPr>
          <w:p w14:paraId="56C966DE"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51.7</w:t>
            </w:r>
          </w:p>
        </w:tc>
        <w:tc>
          <w:tcPr>
            <w:tcW w:w="974" w:type="dxa"/>
            <w:tcBorders>
              <w:top w:val="single" w:sz="6" w:space="0" w:color="auto"/>
              <w:left w:val="single" w:sz="6" w:space="0" w:color="auto"/>
              <w:bottom w:val="single" w:sz="6" w:space="0" w:color="auto"/>
              <w:right w:val="single" w:sz="6" w:space="0" w:color="auto"/>
            </w:tcBorders>
          </w:tcPr>
          <w:p w14:paraId="077C34E2"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52.6</w:t>
            </w:r>
          </w:p>
        </w:tc>
        <w:tc>
          <w:tcPr>
            <w:tcW w:w="975" w:type="dxa"/>
            <w:tcBorders>
              <w:top w:val="single" w:sz="6" w:space="0" w:color="auto"/>
              <w:left w:val="single" w:sz="6" w:space="0" w:color="auto"/>
              <w:bottom w:val="single" w:sz="6" w:space="0" w:color="auto"/>
              <w:right w:val="single" w:sz="6" w:space="0" w:color="auto"/>
            </w:tcBorders>
          </w:tcPr>
          <w:p w14:paraId="43057A99"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54.0</w:t>
            </w:r>
          </w:p>
        </w:tc>
        <w:tc>
          <w:tcPr>
            <w:tcW w:w="974" w:type="dxa"/>
            <w:tcBorders>
              <w:top w:val="single" w:sz="6" w:space="0" w:color="auto"/>
              <w:left w:val="single" w:sz="6" w:space="0" w:color="auto"/>
              <w:bottom w:val="single" w:sz="6" w:space="0" w:color="auto"/>
              <w:right w:val="single" w:sz="6" w:space="0" w:color="auto"/>
            </w:tcBorders>
          </w:tcPr>
          <w:p w14:paraId="443D17C6"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52.2</w:t>
            </w:r>
          </w:p>
        </w:tc>
      </w:tr>
      <w:tr w:rsidR="00881BC9" w:rsidRPr="00392E0D" w14:paraId="00E164B4" w14:textId="77777777" w:rsidTr="00881BC9">
        <w:trPr>
          <w:trHeight w:val="287"/>
        </w:trPr>
        <w:tc>
          <w:tcPr>
            <w:tcW w:w="3774" w:type="dxa"/>
            <w:tcBorders>
              <w:top w:val="single" w:sz="6" w:space="0" w:color="auto"/>
              <w:left w:val="single" w:sz="6" w:space="0" w:color="auto"/>
              <w:bottom w:val="single" w:sz="6" w:space="0" w:color="auto"/>
              <w:right w:val="single" w:sz="6" w:space="0" w:color="auto"/>
            </w:tcBorders>
          </w:tcPr>
          <w:p w14:paraId="1F192514" w14:textId="77777777" w:rsidR="00881BC9" w:rsidRPr="00392E0D" w:rsidRDefault="00881BC9" w:rsidP="00881BC9">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Remote / Very Remote</w:t>
            </w:r>
          </w:p>
        </w:tc>
        <w:tc>
          <w:tcPr>
            <w:tcW w:w="974" w:type="dxa"/>
            <w:tcBorders>
              <w:top w:val="single" w:sz="6" w:space="0" w:color="auto"/>
              <w:left w:val="single" w:sz="6" w:space="0" w:color="auto"/>
              <w:bottom w:val="single" w:sz="6" w:space="0" w:color="auto"/>
              <w:right w:val="single" w:sz="6" w:space="0" w:color="auto"/>
            </w:tcBorders>
          </w:tcPr>
          <w:p w14:paraId="22B03653"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37.0</w:t>
            </w:r>
          </w:p>
        </w:tc>
        <w:tc>
          <w:tcPr>
            <w:tcW w:w="975" w:type="dxa"/>
            <w:tcBorders>
              <w:top w:val="single" w:sz="6" w:space="0" w:color="auto"/>
              <w:left w:val="single" w:sz="6" w:space="0" w:color="auto"/>
              <w:bottom w:val="single" w:sz="6" w:space="0" w:color="auto"/>
              <w:right w:val="single" w:sz="6" w:space="0" w:color="auto"/>
            </w:tcBorders>
          </w:tcPr>
          <w:p w14:paraId="5D20E19F"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42.9</w:t>
            </w:r>
          </w:p>
        </w:tc>
        <w:tc>
          <w:tcPr>
            <w:tcW w:w="974" w:type="dxa"/>
            <w:tcBorders>
              <w:top w:val="single" w:sz="6" w:space="0" w:color="auto"/>
              <w:left w:val="single" w:sz="6" w:space="0" w:color="auto"/>
              <w:bottom w:val="single" w:sz="6" w:space="0" w:color="auto"/>
              <w:right w:val="single" w:sz="6" w:space="0" w:color="auto"/>
            </w:tcBorders>
          </w:tcPr>
          <w:p w14:paraId="517C77F0"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42.3</w:t>
            </w:r>
          </w:p>
        </w:tc>
        <w:tc>
          <w:tcPr>
            <w:tcW w:w="975" w:type="dxa"/>
            <w:tcBorders>
              <w:top w:val="single" w:sz="6" w:space="0" w:color="auto"/>
              <w:left w:val="single" w:sz="6" w:space="0" w:color="auto"/>
              <w:bottom w:val="single" w:sz="6" w:space="0" w:color="auto"/>
              <w:right w:val="single" w:sz="6" w:space="0" w:color="auto"/>
            </w:tcBorders>
          </w:tcPr>
          <w:p w14:paraId="2F121099"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44.9</w:t>
            </w:r>
          </w:p>
        </w:tc>
        <w:tc>
          <w:tcPr>
            <w:tcW w:w="974" w:type="dxa"/>
            <w:tcBorders>
              <w:top w:val="single" w:sz="6" w:space="0" w:color="auto"/>
              <w:left w:val="single" w:sz="6" w:space="0" w:color="auto"/>
              <w:bottom w:val="single" w:sz="6" w:space="0" w:color="auto"/>
              <w:right w:val="single" w:sz="6" w:space="0" w:color="auto"/>
            </w:tcBorders>
          </w:tcPr>
          <w:p w14:paraId="63139253" w14:textId="77777777" w:rsidR="00881BC9" w:rsidRPr="00392E0D" w:rsidRDefault="00881BC9"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44.1</w:t>
            </w:r>
          </w:p>
        </w:tc>
      </w:tr>
    </w:tbl>
    <w:p w14:paraId="5147440D" w14:textId="22B5ECAB" w:rsidR="00881BC9" w:rsidRPr="00392E0D" w:rsidRDefault="00881BC9">
      <w:pPr>
        <w:widowControl/>
        <w:autoSpaceDE/>
        <w:autoSpaceDN/>
        <w:rPr>
          <w:rFonts w:ascii="Arial" w:eastAsia="Times New Roman" w:hAnsi="Arial" w:cs="Arial"/>
          <w:color w:val="000000" w:themeColor="text1"/>
          <w:szCs w:val="18"/>
        </w:rPr>
      </w:pPr>
    </w:p>
    <w:p w14:paraId="114F21B1" w14:textId="77777777" w:rsidR="006E111A" w:rsidRPr="00392E0D" w:rsidRDefault="006E111A" w:rsidP="006E111A">
      <w:pPr>
        <w:pStyle w:val="Heading2"/>
        <w:rPr>
          <w:rFonts w:cs="Arial"/>
        </w:rPr>
      </w:pPr>
      <w:r w:rsidRPr="00392E0D">
        <w:rPr>
          <w:rFonts w:cs="Arial"/>
        </w:rPr>
        <w:t>Percentage</w:t>
      </w:r>
      <w:r w:rsidRPr="00392E0D">
        <w:rPr>
          <w:rFonts w:cs="Arial"/>
          <w:spacing w:val="4"/>
        </w:rPr>
        <w:t xml:space="preserve"> </w:t>
      </w:r>
      <w:r w:rsidRPr="00392E0D">
        <w:rPr>
          <w:rFonts w:cs="Arial"/>
        </w:rPr>
        <w:t>of</w:t>
      </w:r>
      <w:r w:rsidRPr="00392E0D">
        <w:rPr>
          <w:rFonts w:cs="Arial"/>
          <w:spacing w:val="5"/>
        </w:rPr>
        <w:t xml:space="preserve"> </w:t>
      </w:r>
      <w:r w:rsidRPr="00392E0D">
        <w:rPr>
          <w:rFonts w:cs="Arial"/>
        </w:rPr>
        <w:t>children</w:t>
      </w:r>
      <w:r w:rsidRPr="00392E0D">
        <w:rPr>
          <w:rFonts w:cs="Arial"/>
          <w:spacing w:val="5"/>
        </w:rPr>
        <w:t xml:space="preserve"> </w:t>
      </w:r>
      <w:r w:rsidRPr="00392E0D">
        <w:rPr>
          <w:rFonts w:cs="Arial"/>
        </w:rPr>
        <w:t>developmentally</w:t>
      </w:r>
      <w:r w:rsidRPr="00392E0D">
        <w:rPr>
          <w:rFonts w:cs="Arial"/>
          <w:spacing w:val="5"/>
        </w:rPr>
        <w:t xml:space="preserve"> </w:t>
      </w:r>
      <w:r w:rsidRPr="00392E0D">
        <w:rPr>
          <w:rFonts w:cs="Arial"/>
        </w:rPr>
        <w:t>vulnerable</w:t>
      </w:r>
      <w:r w:rsidRPr="00392E0D">
        <w:rPr>
          <w:rFonts w:cs="Arial"/>
          <w:spacing w:val="5"/>
        </w:rPr>
        <w:t xml:space="preserve"> </w:t>
      </w:r>
      <w:r w:rsidRPr="00392E0D">
        <w:rPr>
          <w:rFonts w:cs="Arial"/>
        </w:rPr>
        <w:t>by</w:t>
      </w:r>
      <w:r w:rsidRPr="00392E0D">
        <w:rPr>
          <w:rFonts w:cs="Arial"/>
          <w:spacing w:val="4"/>
        </w:rPr>
        <w:t xml:space="preserve"> </w:t>
      </w:r>
      <w:r w:rsidRPr="00392E0D">
        <w:rPr>
          <w:rFonts w:cs="Arial"/>
        </w:rPr>
        <w:t>AEDC</w:t>
      </w:r>
      <w:r w:rsidRPr="00392E0D">
        <w:rPr>
          <w:rFonts w:cs="Arial"/>
          <w:spacing w:val="5"/>
        </w:rPr>
        <w:t xml:space="preserve"> </w:t>
      </w:r>
      <w:r w:rsidRPr="00392E0D">
        <w:rPr>
          <w:rFonts w:cs="Arial"/>
        </w:rPr>
        <w:t>domain</w:t>
      </w:r>
    </w:p>
    <w:p w14:paraId="7C994574" w14:textId="44537460" w:rsidR="006E111A" w:rsidRPr="00392E0D" w:rsidRDefault="006E111A" w:rsidP="006E111A">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43</w:t>
      </w:r>
      <w:r w:rsidRPr="00392E0D">
        <w:rPr>
          <w:rFonts w:cs="Arial"/>
        </w:rPr>
        <w:fldChar w:fldCharType="end"/>
      </w:r>
      <w:r w:rsidRPr="00392E0D">
        <w:rPr>
          <w:rFonts w:cs="Arial"/>
        </w:rPr>
        <w:tab/>
      </w:r>
      <w:r w:rsidRPr="00392E0D">
        <w:rPr>
          <w:rFonts w:eastAsiaTheme="minorHAnsi" w:cs="Arial"/>
          <w:lang w:val="en-AU"/>
        </w:rPr>
        <w:t>Percentage of children developmentally vulnerable on Physical health and wellbeing domain, by Remoteness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6E111A" w:rsidRPr="00392E0D" w14:paraId="0373FA69" w14:textId="77777777" w:rsidTr="006E111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7BDC6767" w14:textId="77777777" w:rsidR="006E111A" w:rsidRPr="00392E0D" w:rsidRDefault="006E111A" w:rsidP="006E111A">
            <w:pPr>
              <w:widowControl/>
              <w:adjustRightInd w:val="0"/>
              <w:spacing w:before="60" w:after="60"/>
              <w:jc w:val="right"/>
              <w:rPr>
                <w:rFonts w:ascii="Arial" w:eastAsiaTheme="minorHAnsi" w:hAnsi="Arial" w:cs="Arial"/>
                <w:color w:val="000000"/>
                <w:sz w:val="20"/>
                <w:lang w:val="en-AU"/>
              </w:rPr>
            </w:pPr>
          </w:p>
        </w:tc>
        <w:tc>
          <w:tcPr>
            <w:tcW w:w="974" w:type="dxa"/>
            <w:tcBorders>
              <w:top w:val="single" w:sz="6" w:space="0" w:color="auto"/>
              <w:left w:val="single" w:sz="6" w:space="0" w:color="auto"/>
              <w:bottom w:val="single" w:sz="6" w:space="0" w:color="auto"/>
              <w:right w:val="single" w:sz="6" w:space="0" w:color="auto"/>
            </w:tcBorders>
          </w:tcPr>
          <w:p w14:paraId="5177DF7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7EC5AF0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4" w:type="dxa"/>
            <w:tcBorders>
              <w:top w:val="single" w:sz="6" w:space="0" w:color="auto"/>
              <w:left w:val="single" w:sz="6" w:space="0" w:color="auto"/>
              <w:bottom w:val="single" w:sz="6" w:space="0" w:color="auto"/>
              <w:right w:val="single" w:sz="6" w:space="0" w:color="auto"/>
            </w:tcBorders>
          </w:tcPr>
          <w:p w14:paraId="00D8799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0BBE160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4" w:type="dxa"/>
            <w:tcBorders>
              <w:top w:val="single" w:sz="6" w:space="0" w:color="auto"/>
              <w:left w:val="single" w:sz="6" w:space="0" w:color="auto"/>
              <w:bottom w:val="single" w:sz="6" w:space="0" w:color="auto"/>
              <w:right w:val="single" w:sz="6" w:space="0" w:color="auto"/>
            </w:tcBorders>
          </w:tcPr>
          <w:p w14:paraId="1660323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r>
      <w:tr w:rsidR="006E111A" w:rsidRPr="00392E0D" w14:paraId="500E5DB5"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135A385F"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Major Cities</w:t>
            </w:r>
          </w:p>
        </w:tc>
        <w:tc>
          <w:tcPr>
            <w:tcW w:w="974" w:type="dxa"/>
            <w:tcBorders>
              <w:top w:val="single" w:sz="6" w:space="0" w:color="auto"/>
              <w:left w:val="single" w:sz="6" w:space="0" w:color="auto"/>
              <w:bottom w:val="single" w:sz="6" w:space="0" w:color="auto"/>
              <w:right w:val="single" w:sz="6" w:space="0" w:color="auto"/>
            </w:tcBorders>
          </w:tcPr>
          <w:p w14:paraId="07314269"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8.6</w:t>
            </w:r>
          </w:p>
        </w:tc>
        <w:tc>
          <w:tcPr>
            <w:tcW w:w="975" w:type="dxa"/>
            <w:tcBorders>
              <w:top w:val="single" w:sz="6" w:space="0" w:color="auto"/>
              <w:left w:val="single" w:sz="6" w:space="0" w:color="auto"/>
              <w:bottom w:val="single" w:sz="6" w:space="0" w:color="auto"/>
              <w:right w:val="single" w:sz="6" w:space="0" w:color="auto"/>
            </w:tcBorders>
          </w:tcPr>
          <w:p w14:paraId="07CD6038"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8.6</w:t>
            </w:r>
          </w:p>
        </w:tc>
        <w:tc>
          <w:tcPr>
            <w:tcW w:w="974" w:type="dxa"/>
            <w:tcBorders>
              <w:top w:val="single" w:sz="6" w:space="0" w:color="auto"/>
              <w:left w:val="single" w:sz="6" w:space="0" w:color="auto"/>
              <w:bottom w:val="single" w:sz="6" w:space="0" w:color="auto"/>
              <w:right w:val="single" w:sz="6" w:space="0" w:color="auto"/>
            </w:tcBorders>
          </w:tcPr>
          <w:p w14:paraId="6CF10AA9"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w:t>
            </w:r>
          </w:p>
        </w:tc>
        <w:tc>
          <w:tcPr>
            <w:tcW w:w="975" w:type="dxa"/>
            <w:tcBorders>
              <w:top w:val="single" w:sz="6" w:space="0" w:color="auto"/>
              <w:left w:val="single" w:sz="6" w:space="0" w:color="auto"/>
              <w:bottom w:val="single" w:sz="6" w:space="0" w:color="auto"/>
              <w:right w:val="single" w:sz="6" w:space="0" w:color="auto"/>
            </w:tcBorders>
          </w:tcPr>
          <w:p w14:paraId="7632F46F"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8.7</w:t>
            </w:r>
          </w:p>
        </w:tc>
        <w:tc>
          <w:tcPr>
            <w:tcW w:w="974" w:type="dxa"/>
            <w:tcBorders>
              <w:top w:val="single" w:sz="6" w:space="0" w:color="auto"/>
              <w:left w:val="single" w:sz="6" w:space="0" w:color="auto"/>
              <w:bottom w:val="single" w:sz="6" w:space="0" w:color="auto"/>
              <w:right w:val="single" w:sz="6" w:space="0" w:color="auto"/>
            </w:tcBorders>
          </w:tcPr>
          <w:p w14:paraId="1BD8324C"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w:t>
            </w:r>
          </w:p>
        </w:tc>
      </w:tr>
      <w:tr w:rsidR="006E111A" w:rsidRPr="00392E0D" w14:paraId="639556D6"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522DC943"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Inner Regional / Outer Regional</w:t>
            </w:r>
          </w:p>
        </w:tc>
        <w:tc>
          <w:tcPr>
            <w:tcW w:w="974" w:type="dxa"/>
            <w:tcBorders>
              <w:top w:val="single" w:sz="6" w:space="0" w:color="auto"/>
              <w:left w:val="single" w:sz="6" w:space="0" w:color="auto"/>
              <w:bottom w:val="single" w:sz="6" w:space="0" w:color="auto"/>
              <w:right w:val="single" w:sz="6" w:space="0" w:color="auto"/>
            </w:tcBorders>
          </w:tcPr>
          <w:p w14:paraId="418EE761"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10.4</w:t>
            </w:r>
          </w:p>
        </w:tc>
        <w:tc>
          <w:tcPr>
            <w:tcW w:w="975" w:type="dxa"/>
            <w:tcBorders>
              <w:top w:val="single" w:sz="6" w:space="0" w:color="auto"/>
              <w:left w:val="single" w:sz="6" w:space="0" w:color="auto"/>
              <w:bottom w:val="single" w:sz="6" w:space="0" w:color="auto"/>
              <w:right w:val="single" w:sz="6" w:space="0" w:color="auto"/>
            </w:tcBorders>
          </w:tcPr>
          <w:p w14:paraId="224F5E7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10.5</w:t>
            </w:r>
          </w:p>
        </w:tc>
        <w:tc>
          <w:tcPr>
            <w:tcW w:w="974" w:type="dxa"/>
            <w:tcBorders>
              <w:top w:val="single" w:sz="6" w:space="0" w:color="auto"/>
              <w:left w:val="single" w:sz="6" w:space="0" w:color="auto"/>
              <w:bottom w:val="single" w:sz="6" w:space="0" w:color="auto"/>
              <w:right w:val="single" w:sz="6" w:space="0" w:color="auto"/>
            </w:tcBorders>
          </w:tcPr>
          <w:p w14:paraId="59E8AA9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10.9</w:t>
            </w:r>
          </w:p>
        </w:tc>
        <w:tc>
          <w:tcPr>
            <w:tcW w:w="975" w:type="dxa"/>
            <w:tcBorders>
              <w:top w:val="single" w:sz="6" w:space="0" w:color="auto"/>
              <w:left w:val="single" w:sz="6" w:space="0" w:color="auto"/>
              <w:bottom w:val="single" w:sz="6" w:space="0" w:color="auto"/>
              <w:right w:val="single" w:sz="6" w:space="0" w:color="auto"/>
            </w:tcBorders>
          </w:tcPr>
          <w:p w14:paraId="4DE634A2"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11.3</w:t>
            </w:r>
          </w:p>
        </w:tc>
        <w:tc>
          <w:tcPr>
            <w:tcW w:w="974" w:type="dxa"/>
            <w:tcBorders>
              <w:top w:val="single" w:sz="6" w:space="0" w:color="auto"/>
              <w:left w:val="single" w:sz="6" w:space="0" w:color="auto"/>
              <w:bottom w:val="single" w:sz="6" w:space="0" w:color="auto"/>
              <w:right w:val="single" w:sz="6" w:space="0" w:color="auto"/>
            </w:tcBorders>
          </w:tcPr>
          <w:p w14:paraId="137DFE66"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11.8</w:t>
            </w:r>
          </w:p>
        </w:tc>
      </w:tr>
      <w:tr w:rsidR="006E111A" w:rsidRPr="00392E0D" w14:paraId="164EA8BA"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73312A07"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Remote / Very Remote</w:t>
            </w:r>
          </w:p>
        </w:tc>
        <w:tc>
          <w:tcPr>
            <w:tcW w:w="974" w:type="dxa"/>
            <w:tcBorders>
              <w:top w:val="single" w:sz="6" w:space="0" w:color="auto"/>
              <w:left w:val="single" w:sz="6" w:space="0" w:color="auto"/>
              <w:bottom w:val="single" w:sz="6" w:space="0" w:color="auto"/>
              <w:right w:val="single" w:sz="6" w:space="0" w:color="auto"/>
            </w:tcBorders>
          </w:tcPr>
          <w:p w14:paraId="40264A06"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16.7</w:t>
            </w:r>
          </w:p>
        </w:tc>
        <w:tc>
          <w:tcPr>
            <w:tcW w:w="975" w:type="dxa"/>
            <w:tcBorders>
              <w:top w:val="single" w:sz="6" w:space="0" w:color="auto"/>
              <w:left w:val="single" w:sz="6" w:space="0" w:color="auto"/>
              <w:bottom w:val="single" w:sz="6" w:space="0" w:color="auto"/>
              <w:right w:val="single" w:sz="6" w:space="0" w:color="auto"/>
            </w:tcBorders>
          </w:tcPr>
          <w:p w14:paraId="17F2AF35"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14.9</w:t>
            </w:r>
          </w:p>
        </w:tc>
        <w:tc>
          <w:tcPr>
            <w:tcW w:w="974" w:type="dxa"/>
            <w:tcBorders>
              <w:top w:val="single" w:sz="6" w:space="0" w:color="auto"/>
              <w:left w:val="single" w:sz="6" w:space="0" w:color="auto"/>
              <w:bottom w:val="single" w:sz="6" w:space="0" w:color="auto"/>
              <w:right w:val="single" w:sz="6" w:space="0" w:color="auto"/>
            </w:tcBorders>
          </w:tcPr>
          <w:p w14:paraId="543854BA"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17.2</w:t>
            </w:r>
          </w:p>
        </w:tc>
        <w:tc>
          <w:tcPr>
            <w:tcW w:w="975" w:type="dxa"/>
            <w:tcBorders>
              <w:top w:val="single" w:sz="6" w:space="0" w:color="auto"/>
              <w:left w:val="single" w:sz="6" w:space="0" w:color="auto"/>
              <w:bottom w:val="single" w:sz="6" w:space="0" w:color="auto"/>
              <w:right w:val="single" w:sz="6" w:space="0" w:color="auto"/>
            </w:tcBorders>
          </w:tcPr>
          <w:p w14:paraId="1017408F"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17.6</w:t>
            </w:r>
          </w:p>
        </w:tc>
        <w:tc>
          <w:tcPr>
            <w:tcW w:w="974" w:type="dxa"/>
            <w:tcBorders>
              <w:top w:val="single" w:sz="6" w:space="0" w:color="auto"/>
              <w:left w:val="single" w:sz="6" w:space="0" w:color="auto"/>
              <w:bottom w:val="single" w:sz="6" w:space="0" w:color="auto"/>
              <w:right w:val="single" w:sz="6" w:space="0" w:color="auto"/>
            </w:tcBorders>
          </w:tcPr>
          <w:p w14:paraId="67147162"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17.2</w:t>
            </w:r>
          </w:p>
        </w:tc>
      </w:tr>
    </w:tbl>
    <w:p w14:paraId="2061149D" w14:textId="09511DAB" w:rsidR="006E111A" w:rsidRPr="004820F8" w:rsidRDefault="006E111A" w:rsidP="006E111A">
      <w:pPr>
        <w:pStyle w:val="Caption"/>
        <w:rPr>
          <w:rFonts w:eastAsiaTheme="minorHAnsi" w:cs="Arial"/>
          <w:color w:val="000000"/>
          <w:szCs w:val="21"/>
          <w:lang w:val="en-AU"/>
        </w:rPr>
      </w:pPr>
      <w:r w:rsidRPr="004820F8">
        <w:rPr>
          <w:rFonts w:cs="Arial"/>
          <w:szCs w:val="21"/>
        </w:rPr>
        <w:t xml:space="preserve">Table </w:t>
      </w:r>
      <w:r w:rsidRPr="004820F8">
        <w:rPr>
          <w:rFonts w:cs="Arial"/>
          <w:szCs w:val="21"/>
        </w:rPr>
        <w:fldChar w:fldCharType="begin"/>
      </w:r>
      <w:r w:rsidRPr="004820F8">
        <w:rPr>
          <w:rFonts w:cs="Arial"/>
          <w:szCs w:val="21"/>
        </w:rPr>
        <w:instrText xml:space="preserve"> SEQ Table \* ARABIC </w:instrText>
      </w:r>
      <w:r w:rsidRPr="004820F8">
        <w:rPr>
          <w:rFonts w:cs="Arial"/>
          <w:szCs w:val="21"/>
        </w:rPr>
        <w:fldChar w:fldCharType="separate"/>
      </w:r>
      <w:r w:rsidR="001424FD">
        <w:rPr>
          <w:rFonts w:cs="Arial"/>
          <w:noProof/>
          <w:szCs w:val="21"/>
        </w:rPr>
        <w:t>44</w:t>
      </w:r>
      <w:r w:rsidRPr="004820F8">
        <w:rPr>
          <w:rFonts w:cs="Arial"/>
          <w:szCs w:val="21"/>
        </w:rPr>
        <w:fldChar w:fldCharType="end"/>
      </w:r>
      <w:r w:rsidRPr="004820F8">
        <w:rPr>
          <w:rFonts w:cs="Arial"/>
          <w:szCs w:val="21"/>
        </w:rPr>
        <w:tab/>
      </w:r>
      <w:r w:rsidRPr="004820F8">
        <w:rPr>
          <w:rFonts w:eastAsiaTheme="minorHAnsi" w:cs="Arial"/>
          <w:color w:val="000000"/>
          <w:szCs w:val="21"/>
          <w:lang w:val="en-AU"/>
        </w:rPr>
        <w:t xml:space="preserve">Percentage of children developmentally vulnerable on </w:t>
      </w:r>
      <w:proofErr w:type="gramStart"/>
      <w:r w:rsidRPr="004820F8">
        <w:rPr>
          <w:rFonts w:eastAsiaTheme="minorHAnsi" w:cs="Arial"/>
          <w:color w:val="000000"/>
          <w:szCs w:val="21"/>
          <w:lang w:val="en-AU"/>
        </w:rPr>
        <w:t>Social</w:t>
      </w:r>
      <w:proofErr w:type="gramEnd"/>
      <w:r w:rsidRPr="004820F8">
        <w:rPr>
          <w:rFonts w:eastAsiaTheme="minorHAnsi" w:cs="Arial"/>
          <w:color w:val="000000"/>
          <w:szCs w:val="21"/>
          <w:lang w:val="en-AU"/>
        </w:rPr>
        <w:t xml:space="preserve"> competence domain, by Remoteness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6E111A" w:rsidRPr="00392E0D" w14:paraId="00BD4315" w14:textId="77777777" w:rsidTr="006E111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37E43D18" w14:textId="77777777" w:rsidR="006E111A" w:rsidRPr="00392E0D" w:rsidRDefault="006E111A" w:rsidP="006E111A">
            <w:pPr>
              <w:widowControl/>
              <w:adjustRightInd w:val="0"/>
              <w:spacing w:before="60" w:after="60"/>
              <w:jc w:val="right"/>
              <w:rPr>
                <w:rFonts w:ascii="Arial" w:eastAsiaTheme="minorHAnsi" w:hAnsi="Arial" w:cs="Arial"/>
                <w:color w:val="000000"/>
                <w:sz w:val="20"/>
                <w:lang w:val="en-AU"/>
              </w:rPr>
            </w:pPr>
          </w:p>
        </w:tc>
        <w:tc>
          <w:tcPr>
            <w:tcW w:w="974" w:type="dxa"/>
            <w:tcBorders>
              <w:top w:val="single" w:sz="6" w:space="0" w:color="auto"/>
              <w:left w:val="single" w:sz="6" w:space="0" w:color="auto"/>
              <w:bottom w:val="single" w:sz="6" w:space="0" w:color="auto"/>
              <w:right w:val="single" w:sz="6" w:space="0" w:color="auto"/>
            </w:tcBorders>
          </w:tcPr>
          <w:p w14:paraId="4A0882F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4395B90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4" w:type="dxa"/>
            <w:tcBorders>
              <w:top w:val="single" w:sz="6" w:space="0" w:color="auto"/>
              <w:left w:val="single" w:sz="6" w:space="0" w:color="auto"/>
              <w:bottom w:val="single" w:sz="6" w:space="0" w:color="auto"/>
              <w:right w:val="single" w:sz="6" w:space="0" w:color="auto"/>
            </w:tcBorders>
          </w:tcPr>
          <w:p w14:paraId="61E8970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32F63AE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4" w:type="dxa"/>
            <w:tcBorders>
              <w:top w:val="single" w:sz="6" w:space="0" w:color="auto"/>
              <w:left w:val="single" w:sz="6" w:space="0" w:color="auto"/>
              <w:bottom w:val="single" w:sz="6" w:space="0" w:color="auto"/>
              <w:right w:val="single" w:sz="6" w:space="0" w:color="auto"/>
            </w:tcBorders>
          </w:tcPr>
          <w:p w14:paraId="2B3DE66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r>
      <w:tr w:rsidR="006E111A" w:rsidRPr="00392E0D" w14:paraId="4CB9C6FE"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77C3368C"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Major Cities</w:t>
            </w:r>
          </w:p>
        </w:tc>
        <w:tc>
          <w:tcPr>
            <w:tcW w:w="974" w:type="dxa"/>
            <w:tcBorders>
              <w:top w:val="single" w:sz="6" w:space="0" w:color="auto"/>
              <w:left w:val="single" w:sz="6" w:space="0" w:color="auto"/>
              <w:bottom w:val="single" w:sz="6" w:space="0" w:color="auto"/>
              <w:right w:val="single" w:sz="6" w:space="0" w:color="auto"/>
            </w:tcBorders>
          </w:tcPr>
          <w:p w14:paraId="1710825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w:t>
            </w:r>
          </w:p>
        </w:tc>
        <w:tc>
          <w:tcPr>
            <w:tcW w:w="975" w:type="dxa"/>
            <w:tcBorders>
              <w:top w:val="single" w:sz="6" w:space="0" w:color="auto"/>
              <w:left w:val="single" w:sz="6" w:space="0" w:color="auto"/>
              <w:bottom w:val="single" w:sz="6" w:space="0" w:color="auto"/>
              <w:right w:val="single" w:sz="6" w:space="0" w:color="auto"/>
            </w:tcBorders>
          </w:tcPr>
          <w:p w14:paraId="6F65DF35"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w:t>
            </w:r>
          </w:p>
        </w:tc>
        <w:tc>
          <w:tcPr>
            <w:tcW w:w="974" w:type="dxa"/>
            <w:tcBorders>
              <w:top w:val="single" w:sz="6" w:space="0" w:color="auto"/>
              <w:left w:val="single" w:sz="6" w:space="0" w:color="auto"/>
              <w:bottom w:val="single" w:sz="6" w:space="0" w:color="auto"/>
              <w:right w:val="single" w:sz="6" w:space="0" w:color="auto"/>
            </w:tcBorders>
          </w:tcPr>
          <w:p w14:paraId="3230E1A6"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w:t>
            </w:r>
          </w:p>
        </w:tc>
        <w:tc>
          <w:tcPr>
            <w:tcW w:w="975" w:type="dxa"/>
            <w:tcBorders>
              <w:top w:val="single" w:sz="6" w:space="0" w:color="auto"/>
              <w:left w:val="single" w:sz="6" w:space="0" w:color="auto"/>
              <w:bottom w:val="single" w:sz="6" w:space="0" w:color="auto"/>
              <w:right w:val="single" w:sz="6" w:space="0" w:color="auto"/>
            </w:tcBorders>
          </w:tcPr>
          <w:p w14:paraId="184D7EA4"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w:t>
            </w:r>
          </w:p>
        </w:tc>
        <w:tc>
          <w:tcPr>
            <w:tcW w:w="974" w:type="dxa"/>
            <w:tcBorders>
              <w:top w:val="single" w:sz="6" w:space="0" w:color="auto"/>
              <w:left w:val="single" w:sz="6" w:space="0" w:color="auto"/>
              <w:bottom w:val="single" w:sz="6" w:space="0" w:color="auto"/>
              <w:right w:val="single" w:sz="6" w:space="0" w:color="auto"/>
            </w:tcBorders>
          </w:tcPr>
          <w:p w14:paraId="70000B2E"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9.1</w:t>
            </w:r>
          </w:p>
        </w:tc>
      </w:tr>
      <w:tr w:rsidR="006E111A" w:rsidRPr="00392E0D" w14:paraId="3EF9F94F"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0E13CBAE"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Inner Regional / Outer Regional</w:t>
            </w:r>
          </w:p>
        </w:tc>
        <w:tc>
          <w:tcPr>
            <w:tcW w:w="974" w:type="dxa"/>
            <w:tcBorders>
              <w:top w:val="single" w:sz="6" w:space="0" w:color="auto"/>
              <w:left w:val="single" w:sz="6" w:space="0" w:color="auto"/>
              <w:bottom w:val="single" w:sz="6" w:space="0" w:color="auto"/>
              <w:right w:val="single" w:sz="6" w:space="0" w:color="auto"/>
            </w:tcBorders>
          </w:tcPr>
          <w:p w14:paraId="287977A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10.4</w:t>
            </w:r>
          </w:p>
        </w:tc>
        <w:tc>
          <w:tcPr>
            <w:tcW w:w="975" w:type="dxa"/>
            <w:tcBorders>
              <w:top w:val="single" w:sz="6" w:space="0" w:color="auto"/>
              <w:left w:val="single" w:sz="6" w:space="0" w:color="auto"/>
              <w:bottom w:val="single" w:sz="6" w:space="0" w:color="auto"/>
              <w:right w:val="single" w:sz="6" w:space="0" w:color="auto"/>
            </w:tcBorders>
          </w:tcPr>
          <w:p w14:paraId="56F0FACB"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9.8</w:t>
            </w:r>
          </w:p>
        </w:tc>
        <w:tc>
          <w:tcPr>
            <w:tcW w:w="974" w:type="dxa"/>
            <w:tcBorders>
              <w:top w:val="single" w:sz="6" w:space="0" w:color="auto"/>
              <w:left w:val="single" w:sz="6" w:space="0" w:color="auto"/>
              <w:bottom w:val="single" w:sz="6" w:space="0" w:color="auto"/>
              <w:right w:val="single" w:sz="6" w:space="0" w:color="auto"/>
            </w:tcBorders>
          </w:tcPr>
          <w:p w14:paraId="75D21A81"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10.6</w:t>
            </w:r>
          </w:p>
        </w:tc>
        <w:tc>
          <w:tcPr>
            <w:tcW w:w="975" w:type="dxa"/>
            <w:tcBorders>
              <w:top w:val="single" w:sz="6" w:space="0" w:color="auto"/>
              <w:left w:val="single" w:sz="6" w:space="0" w:color="auto"/>
              <w:bottom w:val="single" w:sz="6" w:space="0" w:color="auto"/>
              <w:right w:val="single" w:sz="6" w:space="0" w:color="auto"/>
            </w:tcBorders>
          </w:tcPr>
          <w:p w14:paraId="184FC220"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10.4</w:t>
            </w:r>
          </w:p>
        </w:tc>
        <w:tc>
          <w:tcPr>
            <w:tcW w:w="974" w:type="dxa"/>
            <w:tcBorders>
              <w:top w:val="single" w:sz="6" w:space="0" w:color="auto"/>
              <w:left w:val="single" w:sz="6" w:space="0" w:color="auto"/>
              <w:bottom w:val="single" w:sz="6" w:space="0" w:color="auto"/>
              <w:right w:val="single" w:sz="6" w:space="0" w:color="auto"/>
            </w:tcBorders>
          </w:tcPr>
          <w:p w14:paraId="46D6F175"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10.7</w:t>
            </w:r>
          </w:p>
        </w:tc>
      </w:tr>
      <w:tr w:rsidR="006E111A" w:rsidRPr="00392E0D" w14:paraId="6871CE65"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16DE2371"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Remote / Very Remote</w:t>
            </w:r>
          </w:p>
        </w:tc>
        <w:tc>
          <w:tcPr>
            <w:tcW w:w="974" w:type="dxa"/>
            <w:tcBorders>
              <w:top w:val="single" w:sz="6" w:space="0" w:color="auto"/>
              <w:left w:val="single" w:sz="6" w:space="0" w:color="auto"/>
              <w:bottom w:val="single" w:sz="6" w:space="0" w:color="auto"/>
              <w:right w:val="single" w:sz="6" w:space="0" w:color="auto"/>
            </w:tcBorders>
          </w:tcPr>
          <w:p w14:paraId="6302746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15.2</w:t>
            </w:r>
          </w:p>
        </w:tc>
        <w:tc>
          <w:tcPr>
            <w:tcW w:w="975" w:type="dxa"/>
            <w:tcBorders>
              <w:top w:val="single" w:sz="6" w:space="0" w:color="auto"/>
              <w:left w:val="single" w:sz="6" w:space="0" w:color="auto"/>
              <w:bottom w:val="single" w:sz="6" w:space="0" w:color="auto"/>
              <w:right w:val="single" w:sz="6" w:space="0" w:color="auto"/>
            </w:tcBorders>
          </w:tcPr>
          <w:p w14:paraId="70395349"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13.8</w:t>
            </w:r>
          </w:p>
        </w:tc>
        <w:tc>
          <w:tcPr>
            <w:tcW w:w="974" w:type="dxa"/>
            <w:tcBorders>
              <w:top w:val="single" w:sz="6" w:space="0" w:color="auto"/>
              <w:left w:val="single" w:sz="6" w:space="0" w:color="auto"/>
              <w:bottom w:val="single" w:sz="6" w:space="0" w:color="auto"/>
              <w:right w:val="single" w:sz="6" w:space="0" w:color="auto"/>
            </w:tcBorders>
          </w:tcPr>
          <w:p w14:paraId="623D019E"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16.8</w:t>
            </w:r>
          </w:p>
        </w:tc>
        <w:tc>
          <w:tcPr>
            <w:tcW w:w="975" w:type="dxa"/>
            <w:tcBorders>
              <w:top w:val="single" w:sz="6" w:space="0" w:color="auto"/>
              <w:left w:val="single" w:sz="6" w:space="0" w:color="auto"/>
              <w:bottom w:val="single" w:sz="6" w:space="0" w:color="auto"/>
              <w:right w:val="single" w:sz="6" w:space="0" w:color="auto"/>
            </w:tcBorders>
          </w:tcPr>
          <w:p w14:paraId="5973EC07"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15.9</w:t>
            </w:r>
          </w:p>
        </w:tc>
        <w:tc>
          <w:tcPr>
            <w:tcW w:w="974" w:type="dxa"/>
            <w:tcBorders>
              <w:top w:val="single" w:sz="6" w:space="0" w:color="auto"/>
              <w:left w:val="single" w:sz="6" w:space="0" w:color="auto"/>
              <w:bottom w:val="single" w:sz="6" w:space="0" w:color="auto"/>
              <w:right w:val="single" w:sz="6" w:space="0" w:color="auto"/>
            </w:tcBorders>
          </w:tcPr>
          <w:p w14:paraId="4F32BC62"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15.7</w:t>
            </w:r>
          </w:p>
        </w:tc>
      </w:tr>
    </w:tbl>
    <w:p w14:paraId="29F83B76" w14:textId="3DBA3308" w:rsidR="006E111A" w:rsidRPr="00392E0D" w:rsidRDefault="006E111A" w:rsidP="006E111A">
      <w:pPr>
        <w:pStyle w:val="Caption"/>
        <w:rPr>
          <w:rFonts w:eastAsiaTheme="minorHAnsi" w:cs="Arial"/>
          <w:color w:val="00000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45</w:t>
      </w:r>
      <w:r w:rsidRPr="00392E0D">
        <w:rPr>
          <w:rFonts w:cs="Arial"/>
        </w:rPr>
        <w:fldChar w:fldCharType="end"/>
      </w:r>
      <w:r w:rsidRPr="00392E0D">
        <w:rPr>
          <w:rFonts w:cs="Arial"/>
        </w:rPr>
        <w:tab/>
      </w:r>
      <w:r w:rsidRPr="00392E0D">
        <w:rPr>
          <w:rFonts w:eastAsiaTheme="minorHAnsi" w:cs="Arial"/>
          <w:lang w:val="en-AU"/>
        </w:rPr>
        <w:t>Percentage of children developmentally vulnerable on Emotional maturity domain, by Remoteness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6E111A" w:rsidRPr="00392E0D" w14:paraId="3747FD62" w14:textId="77777777" w:rsidTr="006E111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6DB6FB23" w14:textId="77777777" w:rsidR="006E111A" w:rsidRPr="00392E0D" w:rsidRDefault="006E111A" w:rsidP="006E111A">
            <w:pPr>
              <w:widowControl/>
              <w:adjustRightInd w:val="0"/>
              <w:spacing w:before="60" w:after="60"/>
              <w:jc w:val="right"/>
              <w:rPr>
                <w:rFonts w:ascii="Arial" w:eastAsiaTheme="minorHAnsi" w:hAnsi="Arial" w:cs="Arial"/>
                <w:color w:val="000000"/>
                <w:sz w:val="20"/>
                <w:lang w:val="en-AU"/>
              </w:rPr>
            </w:pPr>
          </w:p>
        </w:tc>
        <w:tc>
          <w:tcPr>
            <w:tcW w:w="974" w:type="dxa"/>
            <w:tcBorders>
              <w:top w:val="single" w:sz="6" w:space="0" w:color="auto"/>
              <w:left w:val="single" w:sz="6" w:space="0" w:color="auto"/>
              <w:bottom w:val="single" w:sz="6" w:space="0" w:color="auto"/>
              <w:right w:val="single" w:sz="6" w:space="0" w:color="auto"/>
            </w:tcBorders>
          </w:tcPr>
          <w:p w14:paraId="1FCD690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2643CA9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4" w:type="dxa"/>
            <w:tcBorders>
              <w:top w:val="single" w:sz="6" w:space="0" w:color="auto"/>
              <w:left w:val="single" w:sz="6" w:space="0" w:color="auto"/>
              <w:bottom w:val="single" w:sz="6" w:space="0" w:color="auto"/>
              <w:right w:val="single" w:sz="6" w:space="0" w:color="auto"/>
            </w:tcBorders>
          </w:tcPr>
          <w:p w14:paraId="11C0363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15ED6FC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4" w:type="dxa"/>
            <w:tcBorders>
              <w:top w:val="single" w:sz="6" w:space="0" w:color="auto"/>
              <w:left w:val="single" w:sz="6" w:space="0" w:color="auto"/>
              <w:bottom w:val="single" w:sz="6" w:space="0" w:color="auto"/>
              <w:right w:val="single" w:sz="6" w:space="0" w:color="auto"/>
            </w:tcBorders>
          </w:tcPr>
          <w:p w14:paraId="50E689F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r>
      <w:tr w:rsidR="006E111A" w:rsidRPr="00392E0D" w14:paraId="07324043"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5FD06FF7"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Major Cities</w:t>
            </w:r>
          </w:p>
        </w:tc>
        <w:tc>
          <w:tcPr>
            <w:tcW w:w="974" w:type="dxa"/>
            <w:tcBorders>
              <w:top w:val="single" w:sz="6" w:space="0" w:color="auto"/>
              <w:left w:val="single" w:sz="6" w:space="0" w:color="auto"/>
              <w:bottom w:val="single" w:sz="6" w:space="0" w:color="auto"/>
              <w:right w:val="single" w:sz="6" w:space="0" w:color="auto"/>
            </w:tcBorders>
          </w:tcPr>
          <w:p w14:paraId="5A644EF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8.3</w:t>
            </w:r>
          </w:p>
        </w:tc>
        <w:tc>
          <w:tcPr>
            <w:tcW w:w="975" w:type="dxa"/>
            <w:tcBorders>
              <w:top w:val="single" w:sz="6" w:space="0" w:color="auto"/>
              <w:left w:val="single" w:sz="6" w:space="0" w:color="auto"/>
              <w:bottom w:val="single" w:sz="6" w:space="0" w:color="auto"/>
              <w:right w:val="single" w:sz="6" w:space="0" w:color="auto"/>
            </w:tcBorders>
          </w:tcPr>
          <w:p w14:paraId="55372E34"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7.1</w:t>
            </w:r>
          </w:p>
        </w:tc>
        <w:tc>
          <w:tcPr>
            <w:tcW w:w="974" w:type="dxa"/>
            <w:tcBorders>
              <w:top w:val="single" w:sz="6" w:space="0" w:color="auto"/>
              <w:left w:val="single" w:sz="6" w:space="0" w:color="auto"/>
              <w:bottom w:val="single" w:sz="6" w:space="0" w:color="auto"/>
              <w:right w:val="single" w:sz="6" w:space="0" w:color="auto"/>
            </w:tcBorders>
          </w:tcPr>
          <w:p w14:paraId="40F4691E"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w:t>
            </w:r>
          </w:p>
        </w:tc>
        <w:tc>
          <w:tcPr>
            <w:tcW w:w="975" w:type="dxa"/>
            <w:tcBorders>
              <w:top w:val="single" w:sz="6" w:space="0" w:color="auto"/>
              <w:left w:val="single" w:sz="6" w:space="0" w:color="auto"/>
              <w:bottom w:val="single" w:sz="6" w:space="0" w:color="auto"/>
              <w:right w:val="single" w:sz="6" w:space="0" w:color="auto"/>
            </w:tcBorders>
          </w:tcPr>
          <w:p w14:paraId="7B7170C6"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7.9</w:t>
            </w:r>
          </w:p>
        </w:tc>
        <w:tc>
          <w:tcPr>
            <w:tcW w:w="974" w:type="dxa"/>
            <w:tcBorders>
              <w:top w:val="single" w:sz="6" w:space="0" w:color="auto"/>
              <w:left w:val="single" w:sz="6" w:space="0" w:color="auto"/>
              <w:bottom w:val="single" w:sz="6" w:space="0" w:color="auto"/>
              <w:right w:val="single" w:sz="6" w:space="0" w:color="auto"/>
            </w:tcBorders>
          </w:tcPr>
          <w:p w14:paraId="4A0043B5"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w:t>
            </w:r>
          </w:p>
        </w:tc>
      </w:tr>
      <w:tr w:rsidR="006E111A" w:rsidRPr="00392E0D" w14:paraId="309670A4"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2DD80516"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Inner Regional / Outer Regional</w:t>
            </w:r>
          </w:p>
        </w:tc>
        <w:tc>
          <w:tcPr>
            <w:tcW w:w="974" w:type="dxa"/>
            <w:tcBorders>
              <w:top w:val="single" w:sz="6" w:space="0" w:color="auto"/>
              <w:left w:val="single" w:sz="6" w:space="0" w:color="auto"/>
              <w:bottom w:val="single" w:sz="6" w:space="0" w:color="auto"/>
              <w:right w:val="single" w:sz="6" w:space="0" w:color="auto"/>
            </w:tcBorders>
          </w:tcPr>
          <w:p w14:paraId="5347E00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9.7</w:t>
            </w:r>
          </w:p>
        </w:tc>
        <w:tc>
          <w:tcPr>
            <w:tcW w:w="975" w:type="dxa"/>
            <w:tcBorders>
              <w:top w:val="single" w:sz="6" w:space="0" w:color="auto"/>
              <w:left w:val="single" w:sz="6" w:space="0" w:color="auto"/>
              <w:bottom w:val="single" w:sz="6" w:space="0" w:color="auto"/>
              <w:right w:val="single" w:sz="6" w:space="0" w:color="auto"/>
            </w:tcBorders>
          </w:tcPr>
          <w:p w14:paraId="076B425F"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8.4</w:t>
            </w:r>
          </w:p>
        </w:tc>
        <w:tc>
          <w:tcPr>
            <w:tcW w:w="974" w:type="dxa"/>
            <w:tcBorders>
              <w:top w:val="single" w:sz="6" w:space="0" w:color="auto"/>
              <w:left w:val="single" w:sz="6" w:space="0" w:color="auto"/>
              <w:bottom w:val="single" w:sz="6" w:space="0" w:color="auto"/>
              <w:right w:val="single" w:sz="6" w:space="0" w:color="auto"/>
            </w:tcBorders>
          </w:tcPr>
          <w:p w14:paraId="38DDDC5A"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9.2</w:t>
            </w:r>
          </w:p>
        </w:tc>
        <w:tc>
          <w:tcPr>
            <w:tcW w:w="975" w:type="dxa"/>
            <w:tcBorders>
              <w:top w:val="single" w:sz="6" w:space="0" w:color="auto"/>
              <w:left w:val="single" w:sz="6" w:space="0" w:color="auto"/>
              <w:bottom w:val="single" w:sz="6" w:space="0" w:color="auto"/>
              <w:right w:val="single" w:sz="6" w:space="0" w:color="auto"/>
            </w:tcBorders>
          </w:tcPr>
          <w:p w14:paraId="325B381F"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9.5</w:t>
            </w:r>
          </w:p>
        </w:tc>
        <w:tc>
          <w:tcPr>
            <w:tcW w:w="974" w:type="dxa"/>
            <w:tcBorders>
              <w:top w:val="single" w:sz="6" w:space="0" w:color="auto"/>
              <w:left w:val="single" w:sz="6" w:space="0" w:color="auto"/>
              <w:bottom w:val="single" w:sz="6" w:space="0" w:color="auto"/>
              <w:right w:val="single" w:sz="6" w:space="0" w:color="auto"/>
            </w:tcBorders>
          </w:tcPr>
          <w:p w14:paraId="7084C56A"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9.9</w:t>
            </w:r>
          </w:p>
        </w:tc>
      </w:tr>
      <w:tr w:rsidR="006E111A" w:rsidRPr="00392E0D" w14:paraId="35A3A3CC"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166C043E"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Remote / Very Remote</w:t>
            </w:r>
          </w:p>
        </w:tc>
        <w:tc>
          <w:tcPr>
            <w:tcW w:w="974" w:type="dxa"/>
            <w:tcBorders>
              <w:top w:val="single" w:sz="6" w:space="0" w:color="auto"/>
              <w:left w:val="single" w:sz="6" w:space="0" w:color="auto"/>
              <w:bottom w:val="single" w:sz="6" w:space="0" w:color="auto"/>
              <w:right w:val="single" w:sz="6" w:space="0" w:color="auto"/>
            </w:tcBorders>
          </w:tcPr>
          <w:p w14:paraId="48EB8EFF"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15.2</w:t>
            </w:r>
          </w:p>
        </w:tc>
        <w:tc>
          <w:tcPr>
            <w:tcW w:w="975" w:type="dxa"/>
            <w:tcBorders>
              <w:top w:val="single" w:sz="6" w:space="0" w:color="auto"/>
              <w:left w:val="single" w:sz="6" w:space="0" w:color="auto"/>
              <w:bottom w:val="single" w:sz="6" w:space="0" w:color="auto"/>
              <w:right w:val="single" w:sz="6" w:space="0" w:color="auto"/>
            </w:tcBorders>
          </w:tcPr>
          <w:p w14:paraId="0FD9A9A0"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12.6</w:t>
            </w:r>
          </w:p>
        </w:tc>
        <w:tc>
          <w:tcPr>
            <w:tcW w:w="974" w:type="dxa"/>
            <w:tcBorders>
              <w:top w:val="single" w:sz="6" w:space="0" w:color="auto"/>
              <w:left w:val="single" w:sz="6" w:space="0" w:color="auto"/>
              <w:bottom w:val="single" w:sz="6" w:space="0" w:color="auto"/>
              <w:right w:val="single" w:sz="6" w:space="0" w:color="auto"/>
            </w:tcBorders>
          </w:tcPr>
          <w:p w14:paraId="2C4D2290"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15.1</w:t>
            </w:r>
          </w:p>
        </w:tc>
        <w:tc>
          <w:tcPr>
            <w:tcW w:w="975" w:type="dxa"/>
            <w:tcBorders>
              <w:top w:val="single" w:sz="6" w:space="0" w:color="auto"/>
              <w:left w:val="single" w:sz="6" w:space="0" w:color="auto"/>
              <w:bottom w:val="single" w:sz="6" w:space="0" w:color="auto"/>
              <w:right w:val="single" w:sz="6" w:space="0" w:color="auto"/>
            </w:tcBorders>
          </w:tcPr>
          <w:p w14:paraId="2633B413"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13.6</w:t>
            </w:r>
          </w:p>
        </w:tc>
        <w:tc>
          <w:tcPr>
            <w:tcW w:w="974" w:type="dxa"/>
            <w:tcBorders>
              <w:top w:val="single" w:sz="6" w:space="0" w:color="auto"/>
              <w:left w:val="single" w:sz="6" w:space="0" w:color="auto"/>
              <w:bottom w:val="single" w:sz="6" w:space="0" w:color="auto"/>
              <w:right w:val="single" w:sz="6" w:space="0" w:color="auto"/>
            </w:tcBorders>
          </w:tcPr>
          <w:p w14:paraId="288FF480"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13.4</w:t>
            </w:r>
          </w:p>
        </w:tc>
      </w:tr>
    </w:tbl>
    <w:p w14:paraId="25DE67FB" w14:textId="22FEAC34" w:rsidR="006E111A" w:rsidRPr="00392E0D" w:rsidRDefault="006E111A">
      <w:pPr>
        <w:widowControl/>
        <w:autoSpaceDE/>
        <w:autoSpaceDN/>
        <w:rPr>
          <w:rFonts w:ascii="Arial" w:eastAsia="Times New Roman" w:hAnsi="Arial" w:cs="Arial"/>
          <w:color w:val="000000" w:themeColor="text1"/>
          <w:szCs w:val="18"/>
        </w:rPr>
      </w:pPr>
    </w:p>
    <w:p w14:paraId="6E763A41" w14:textId="77777777" w:rsidR="00C83446" w:rsidRDefault="00C83446" w:rsidP="006E111A">
      <w:pPr>
        <w:pStyle w:val="Caption"/>
        <w:rPr>
          <w:rFonts w:cs="Arial"/>
        </w:rPr>
      </w:pPr>
    </w:p>
    <w:p w14:paraId="3A36BCF0" w14:textId="7656793E" w:rsidR="006E111A" w:rsidRPr="00392E0D" w:rsidRDefault="006E111A" w:rsidP="006E111A">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46</w:t>
      </w:r>
      <w:r w:rsidRPr="00392E0D">
        <w:rPr>
          <w:rFonts w:cs="Arial"/>
        </w:rPr>
        <w:fldChar w:fldCharType="end"/>
      </w:r>
      <w:r w:rsidRPr="00392E0D">
        <w:rPr>
          <w:rFonts w:cs="Arial"/>
        </w:rPr>
        <w:tab/>
      </w:r>
      <w:r w:rsidRPr="00392E0D">
        <w:rPr>
          <w:rFonts w:eastAsiaTheme="minorHAnsi" w:cs="Arial"/>
          <w:lang w:val="en-AU"/>
        </w:rPr>
        <w:t>Percentage of children developmentally vulnerable on Language and cognitive skills (school-based) domain, by Remoteness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6E111A" w:rsidRPr="00392E0D" w14:paraId="53116351" w14:textId="77777777" w:rsidTr="006E111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152425D4" w14:textId="77777777" w:rsidR="006E111A" w:rsidRPr="00392E0D" w:rsidRDefault="006E111A" w:rsidP="006E111A">
            <w:pPr>
              <w:widowControl/>
              <w:adjustRightInd w:val="0"/>
              <w:spacing w:before="60" w:after="60"/>
              <w:jc w:val="right"/>
              <w:rPr>
                <w:rFonts w:ascii="Arial" w:eastAsiaTheme="minorHAnsi" w:hAnsi="Arial" w:cs="Arial"/>
                <w:color w:val="000000"/>
                <w:sz w:val="20"/>
                <w:lang w:val="en-AU"/>
              </w:rPr>
            </w:pPr>
          </w:p>
        </w:tc>
        <w:tc>
          <w:tcPr>
            <w:tcW w:w="974" w:type="dxa"/>
            <w:tcBorders>
              <w:top w:val="single" w:sz="6" w:space="0" w:color="auto"/>
              <w:left w:val="single" w:sz="6" w:space="0" w:color="auto"/>
              <w:bottom w:val="single" w:sz="6" w:space="0" w:color="auto"/>
              <w:right w:val="single" w:sz="6" w:space="0" w:color="auto"/>
            </w:tcBorders>
          </w:tcPr>
          <w:p w14:paraId="26CBE17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7695C64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4" w:type="dxa"/>
            <w:tcBorders>
              <w:top w:val="single" w:sz="6" w:space="0" w:color="auto"/>
              <w:left w:val="single" w:sz="6" w:space="0" w:color="auto"/>
              <w:bottom w:val="single" w:sz="6" w:space="0" w:color="auto"/>
              <w:right w:val="single" w:sz="6" w:space="0" w:color="auto"/>
            </w:tcBorders>
          </w:tcPr>
          <w:p w14:paraId="6AE4A48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6087B58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4" w:type="dxa"/>
            <w:tcBorders>
              <w:top w:val="single" w:sz="6" w:space="0" w:color="auto"/>
              <w:left w:val="single" w:sz="6" w:space="0" w:color="auto"/>
              <w:bottom w:val="single" w:sz="6" w:space="0" w:color="auto"/>
              <w:right w:val="single" w:sz="6" w:space="0" w:color="auto"/>
            </w:tcBorders>
          </w:tcPr>
          <w:p w14:paraId="514B5BE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r>
      <w:tr w:rsidR="006E111A" w:rsidRPr="00392E0D" w14:paraId="55FF98B1"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5D1BEF51"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Major Cities</w:t>
            </w:r>
          </w:p>
        </w:tc>
        <w:tc>
          <w:tcPr>
            <w:tcW w:w="974" w:type="dxa"/>
            <w:tcBorders>
              <w:top w:val="single" w:sz="6" w:space="0" w:color="auto"/>
              <w:left w:val="single" w:sz="6" w:space="0" w:color="auto"/>
              <w:bottom w:val="single" w:sz="6" w:space="0" w:color="auto"/>
              <w:right w:val="single" w:sz="6" w:space="0" w:color="auto"/>
            </w:tcBorders>
          </w:tcPr>
          <w:p w14:paraId="13B8EEEA"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7.7</w:t>
            </w:r>
          </w:p>
        </w:tc>
        <w:tc>
          <w:tcPr>
            <w:tcW w:w="975" w:type="dxa"/>
            <w:tcBorders>
              <w:top w:val="single" w:sz="6" w:space="0" w:color="auto"/>
              <w:left w:val="single" w:sz="6" w:space="0" w:color="auto"/>
              <w:bottom w:val="single" w:sz="6" w:space="0" w:color="auto"/>
              <w:right w:val="single" w:sz="6" w:space="0" w:color="auto"/>
            </w:tcBorders>
          </w:tcPr>
          <w:p w14:paraId="38B23D7B"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5.9</w:t>
            </w:r>
          </w:p>
        </w:tc>
        <w:tc>
          <w:tcPr>
            <w:tcW w:w="974" w:type="dxa"/>
            <w:tcBorders>
              <w:top w:val="single" w:sz="6" w:space="0" w:color="auto"/>
              <w:left w:val="single" w:sz="6" w:space="0" w:color="auto"/>
              <w:bottom w:val="single" w:sz="6" w:space="0" w:color="auto"/>
              <w:right w:val="single" w:sz="6" w:space="0" w:color="auto"/>
            </w:tcBorders>
          </w:tcPr>
          <w:p w14:paraId="28ED738C"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5.6</w:t>
            </w:r>
          </w:p>
        </w:tc>
        <w:tc>
          <w:tcPr>
            <w:tcW w:w="975" w:type="dxa"/>
            <w:tcBorders>
              <w:top w:val="single" w:sz="6" w:space="0" w:color="auto"/>
              <w:left w:val="single" w:sz="6" w:space="0" w:color="auto"/>
              <w:bottom w:val="single" w:sz="6" w:space="0" w:color="auto"/>
              <w:right w:val="single" w:sz="6" w:space="0" w:color="auto"/>
            </w:tcBorders>
          </w:tcPr>
          <w:p w14:paraId="38768FDC"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5.8</w:t>
            </w:r>
          </w:p>
        </w:tc>
        <w:tc>
          <w:tcPr>
            <w:tcW w:w="974" w:type="dxa"/>
            <w:tcBorders>
              <w:top w:val="single" w:sz="6" w:space="0" w:color="auto"/>
              <w:left w:val="single" w:sz="6" w:space="0" w:color="auto"/>
              <w:bottom w:val="single" w:sz="6" w:space="0" w:color="auto"/>
              <w:right w:val="single" w:sz="6" w:space="0" w:color="auto"/>
            </w:tcBorders>
          </w:tcPr>
          <w:p w14:paraId="3779C822"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6.4</w:t>
            </w:r>
          </w:p>
        </w:tc>
      </w:tr>
      <w:tr w:rsidR="006E111A" w:rsidRPr="00392E0D" w14:paraId="5CC36FF6"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49919E0F"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Inner Regional / Outer Regional</w:t>
            </w:r>
          </w:p>
        </w:tc>
        <w:tc>
          <w:tcPr>
            <w:tcW w:w="974" w:type="dxa"/>
            <w:tcBorders>
              <w:top w:val="single" w:sz="6" w:space="0" w:color="auto"/>
              <w:left w:val="single" w:sz="6" w:space="0" w:color="auto"/>
              <w:bottom w:val="single" w:sz="6" w:space="0" w:color="auto"/>
              <w:right w:val="single" w:sz="6" w:space="0" w:color="auto"/>
            </w:tcBorders>
          </w:tcPr>
          <w:p w14:paraId="72698488"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10.6</w:t>
            </w:r>
          </w:p>
        </w:tc>
        <w:tc>
          <w:tcPr>
            <w:tcW w:w="975" w:type="dxa"/>
            <w:tcBorders>
              <w:top w:val="single" w:sz="6" w:space="0" w:color="auto"/>
              <w:left w:val="single" w:sz="6" w:space="0" w:color="auto"/>
              <w:bottom w:val="single" w:sz="6" w:space="0" w:color="auto"/>
              <w:right w:val="single" w:sz="6" w:space="0" w:color="auto"/>
            </w:tcBorders>
          </w:tcPr>
          <w:p w14:paraId="550E4280"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8.1</w:t>
            </w:r>
          </w:p>
        </w:tc>
        <w:tc>
          <w:tcPr>
            <w:tcW w:w="974" w:type="dxa"/>
            <w:tcBorders>
              <w:top w:val="single" w:sz="6" w:space="0" w:color="auto"/>
              <w:left w:val="single" w:sz="6" w:space="0" w:color="auto"/>
              <w:bottom w:val="single" w:sz="6" w:space="0" w:color="auto"/>
              <w:right w:val="single" w:sz="6" w:space="0" w:color="auto"/>
            </w:tcBorders>
          </w:tcPr>
          <w:p w14:paraId="1F1A1453"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7.6</w:t>
            </w:r>
          </w:p>
        </w:tc>
        <w:tc>
          <w:tcPr>
            <w:tcW w:w="975" w:type="dxa"/>
            <w:tcBorders>
              <w:top w:val="single" w:sz="6" w:space="0" w:color="auto"/>
              <w:left w:val="single" w:sz="6" w:space="0" w:color="auto"/>
              <w:bottom w:val="single" w:sz="6" w:space="0" w:color="auto"/>
              <w:right w:val="single" w:sz="6" w:space="0" w:color="auto"/>
            </w:tcBorders>
          </w:tcPr>
          <w:p w14:paraId="468A763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7.9</w:t>
            </w:r>
          </w:p>
        </w:tc>
        <w:tc>
          <w:tcPr>
            <w:tcW w:w="974" w:type="dxa"/>
            <w:tcBorders>
              <w:top w:val="single" w:sz="6" w:space="0" w:color="auto"/>
              <w:left w:val="single" w:sz="6" w:space="0" w:color="auto"/>
              <w:bottom w:val="single" w:sz="6" w:space="0" w:color="auto"/>
              <w:right w:val="single" w:sz="6" w:space="0" w:color="auto"/>
            </w:tcBorders>
          </w:tcPr>
          <w:p w14:paraId="48E6E3F1"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w:t>
            </w:r>
          </w:p>
        </w:tc>
      </w:tr>
      <w:tr w:rsidR="006E111A" w:rsidRPr="00392E0D" w14:paraId="235246FF"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50AB2149"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Remote / Very Remote</w:t>
            </w:r>
          </w:p>
        </w:tc>
        <w:tc>
          <w:tcPr>
            <w:tcW w:w="974" w:type="dxa"/>
            <w:tcBorders>
              <w:top w:val="single" w:sz="6" w:space="0" w:color="auto"/>
              <w:left w:val="single" w:sz="6" w:space="0" w:color="auto"/>
              <w:bottom w:val="single" w:sz="6" w:space="0" w:color="auto"/>
              <w:right w:val="single" w:sz="6" w:space="0" w:color="auto"/>
            </w:tcBorders>
          </w:tcPr>
          <w:p w14:paraId="5028BD18"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22.0</w:t>
            </w:r>
          </w:p>
        </w:tc>
        <w:tc>
          <w:tcPr>
            <w:tcW w:w="975" w:type="dxa"/>
            <w:tcBorders>
              <w:top w:val="single" w:sz="6" w:space="0" w:color="auto"/>
              <w:left w:val="single" w:sz="6" w:space="0" w:color="auto"/>
              <w:bottom w:val="single" w:sz="6" w:space="0" w:color="auto"/>
              <w:right w:val="single" w:sz="6" w:space="0" w:color="auto"/>
            </w:tcBorders>
          </w:tcPr>
          <w:p w14:paraId="45EB17D0"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17.4</w:t>
            </w:r>
          </w:p>
        </w:tc>
        <w:tc>
          <w:tcPr>
            <w:tcW w:w="974" w:type="dxa"/>
            <w:tcBorders>
              <w:top w:val="single" w:sz="6" w:space="0" w:color="auto"/>
              <w:left w:val="single" w:sz="6" w:space="0" w:color="auto"/>
              <w:bottom w:val="single" w:sz="6" w:space="0" w:color="auto"/>
              <w:right w:val="single" w:sz="6" w:space="0" w:color="auto"/>
            </w:tcBorders>
          </w:tcPr>
          <w:p w14:paraId="66FD5516"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18.0</w:t>
            </w:r>
          </w:p>
        </w:tc>
        <w:tc>
          <w:tcPr>
            <w:tcW w:w="975" w:type="dxa"/>
            <w:tcBorders>
              <w:top w:val="single" w:sz="6" w:space="0" w:color="auto"/>
              <w:left w:val="single" w:sz="6" w:space="0" w:color="auto"/>
              <w:bottom w:val="single" w:sz="6" w:space="0" w:color="auto"/>
              <w:right w:val="single" w:sz="6" w:space="0" w:color="auto"/>
            </w:tcBorders>
          </w:tcPr>
          <w:p w14:paraId="1FB6149F"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18.1</w:t>
            </w:r>
          </w:p>
        </w:tc>
        <w:tc>
          <w:tcPr>
            <w:tcW w:w="974" w:type="dxa"/>
            <w:tcBorders>
              <w:top w:val="single" w:sz="6" w:space="0" w:color="auto"/>
              <w:left w:val="single" w:sz="6" w:space="0" w:color="auto"/>
              <w:bottom w:val="single" w:sz="6" w:space="0" w:color="auto"/>
              <w:right w:val="single" w:sz="6" w:space="0" w:color="auto"/>
            </w:tcBorders>
          </w:tcPr>
          <w:p w14:paraId="2741D342"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w:t>
            </w:r>
          </w:p>
        </w:tc>
      </w:tr>
    </w:tbl>
    <w:p w14:paraId="612E28B9" w14:textId="36660705" w:rsidR="006E111A" w:rsidRPr="00392E0D" w:rsidRDefault="006E111A" w:rsidP="006E111A">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47</w:t>
      </w:r>
      <w:r w:rsidRPr="00392E0D">
        <w:rPr>
          <w:rFonts w:cs="Arial"/>
        </w:rPr>
        <w:fldChar w:fldCharType="end"/>
      </w:r>
      <w:r w:rsidRPr="00392E0D">
        <w:rPr>
          <w:rFonts w:cs="Arial"/>
        </w:rPr>
        <w:tab/>
      </w:r>
      <w:r w:rsidRPr="00392E0D">
        <w:rPr>
          <w:rFonts w:eastAsiaTheme="minorHAnsi" w:cs="Arial"/>
        </w:rPr>
        <w:t>Percentage of children developmentally vulnerable on Communication skills and general knowledge domain, by Remoteness</w:t>
      </w:r>
    </w:p>
    <w:tbl>
      <w:tblPr>
        <w:tblW w:w="0" w:type="auto"/>
        <w:tblInd w:w="-30" w:type="dxa"/>
        <w:tblLayout w:type="fixed"/>
        <w:tblLook w:val="0000" w:firstRow="0" w:lastRow="0" w:firstColumn="0" w:lastColumn="0" w:noHBand="0" w:noVBand="0"/>
      </w:tblPr>
      <w:tblGrid>
        <w:gridCol w:w="3774"/>
        <w:gridCol w:w="974"/>
        <w:gridCol w:w="975"/>
        <w:gridCol w:w="974"/>
        <w:gridCol w:w="975"/>
        <w:gridCol w:w="974"/>
      </w:tblGrid>
      <w:tr w:rsidR="006E111A" w:rsidRPr="00392E0D" w14:paraId="1D5AC49E" w14:textId="77777777" w:rsidTr="006E111A">
        <w:trPr>
          <w:trHeight w:val="287"/>
          <w:tblHeader/>
        </w:trPr>
        <w:tc>
          <w:tcPr>
            <w:tcW w:w="3774" w:type="dxa"/>
            <w:tcBorders>
              <w:top w:val="single" w:sz="6" w:space="0" w:color="auto"/>
              <w:left w:val="single" w:sz="6" w:space="0" w:color="auto"/>
              <w:bottom w:val="single" w:sz="6" w:space="0" w:color="auto"/>
              <w:right w:val="single" w:sz="6" w:space="0" w:color="auto"/>
            </w:tcBorders>
          </w:tcPr>
          <w:p w14:paraId="717D1480" w14:textId="77777777" w:rsidR="006E111A" w:rsidRPr="00392E0D" w:rsidRDefault="006E111A" w:rsidP="006E111A">
            <w:pPr>
              <w:widowControl/>
              <w:adjustRightInd w:val="0"/>
              <w:spacing w:before="60" w:after="60"/>
              <w:jc w:val="right"/>
              <w:rPr>
                <w:rFonts w:ascii="Arial" w:eastAsiaTheme="minorHAnsi" w:hAnsi="Arial" w:cs="Arial"/>
                <w:color w:val="000000"/>
                <w:sz w:val="20"/>
                <w:lang w:val="en-AU"/>
              </w:rPr>
            </w:pPr>
          </w:p>
        </w:tc>
        <w:tc>
          <w:tcPr>
            <w:tcW w:w="974" w:type="dxa"/>
            <w:tcBorders>
              <w:top w:val="single" w:sz="6" w:space="0" w:color="auto"/>
              <w:left w:val="single" w:sz="6" w:space="0" w:color="auto"/>
              <w:bottom w:val="single" w:sz="6" w:space="0" w:color="auto"/>
              <w:right w:val="single" w:sz="6" w:space="0" w:color="auto"/>
            </w:tcBorders>
          </w:tcPr>
          <w:p w14:paraId="6688696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1A40C52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4" w:type="dxa"/>
            <w:tcBorders>
              <w:top w:val="single" w:sz="6" w:space="0" w:color="auto"/>
              <w:left w:val="single" w:sz="6" w:space="0" w:color="auto"/>
              <w:bottom w:val="single" w:sz="6" w:space="0" w:color="auto"/>
              <w:right w:val="single" w:sz="6" w:space="0" w:color="auto"/>
            </w:tcBorders>
          </w:tcPr>
          <w:p w14:paraId="41D915A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401FA9D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4" w:type="dxa"/>
            <w:tcBorders>
              <w:top w:val="single" w:sz="6" w:space="0" w:color="auto"/>
              <w:left w:val="single" w:sz="6" w:space="0" w:color="auto"/>
              <w:bottom w:val="single" w:sz="6" w:space="0" w:color="auto"/>
              <w:right w:val="single" w:sz="6" w:space="0" w:color="auto"/>
            </w:tcBorders>
          </w:tcPr>
          <w:p w14:paraId="19C45E1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r>
      <w:tr w:rsidR="006E111A" w:rsidRPr="00392E0D" w14:paraId="4DF400EC"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3E35AB94"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Major Cities</w:t>
            </w:r>
          </w:p>
        </w:tc>
        <w:tc>
          <w:tcPr>
            <w:tcW w:w="974" w:type="dxa"/>
            <w:tcBorders>
              <w:top w:val="single" w:sz="6" w:space="0" w:color="auto"/>
              <w:left w:val="single" w:sz="6" w:space="0" w:color="auto"/>
              <w:bottom w:val="single" w:sz="6" w:space="0" w:color="auto"/>
              <w:right w:val="single" w:sz="6" w:space="0" w:color="auto"/>
            </w:tcBorders>
          </w:tcPr>
          <w:p w14:paraId="2C041FD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9.1</w:t>
            </w:r>
          </w:p>
        </w:tc>
        <w:tc>
          <w:tcPr>
            <w:tcW w:w="975" w:type="dxa"/>
            <w:tcBorders>
              <w:top w:val="single" w:sz="6" w:space="0" w:color="auto"/>
              <w:left w:val="single" w:sz="6" w:space="0" w:color="auto"/>
              <w:bottom w:val="single" w:sz="6" w:space="0" w:color="auto"/>
              <w:right w:val="single" w:sz="6" w:space="0" w:color="auto"/>
            </w:tcBorders>
          </w:tcPr>
          <w:p w14:paraId="3547259F"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8.8</w:t>
            </w:r>
          </w:p>
        </w:tc>
        <w:tc>
          <w:tcPr>
            <w:tcW w:w="974" w:type="dxa"/>
            <w:tcBorders>
              <w:top w:val="single" w:sz="6" w:space="0" w:color="auto"/>
              <w:left w:val="single" w:sz="6" w:space="0" w:color="auto"/>
              <w:bottom w:val="single" w:sz="6" w:space="0" w:color="auto"/>
              <w:right w:val="single" w:sz="6" w:space="0" w:color="auto"/>
            </w:tcBorders>
          </w:tcPr>
          <w:p w14:paraId="057B116B"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8.3</w:t>
            </w:r>
          </w:p>
        </w:tc>
        <w:tc>
          <w:tcPr>
            <w:tcW w:w="975" w:type="dxa"/>
            <w:tcBorders>
              <w:top w:val="single" w:sz="6" w:space="0" w:color="auto"/>
              <w:left w:val="single" w:sz="6" w:space="0" w:color="auto"/>
              <w:bottom w:val="single" w:sz="6" w:space="0" w:color="auto"/>
              <w:right w:val="single" w:sz="6" w:space="0" w:color="auto"/>
            </w:tcBorders>
          </w:tcPr>
          <w:p w14:paraId="5D57E261"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8.0</w:t>
            </w:r>
          </w:p>
        </w:tc>
        <w:tc>
          <w:tcPr>
            <w:tcW w:w="974" w:type="dxa"/>
            <w:tcBorders>
              <w:top w:val="single" w:sz="6" w:space="0" w:color="auto"/>
              <w:left w:val="single" w:sz="6" w:space="0" w:color="auto"/>
              <w:bottom w:val="single" w:sz="6" w:space="0" w:color="auto"/>
              <w:right w:val="single" w:sz="6" w:space="0" w:color="auto"/>
            </w:tcBorders>
          </w:tcPr>
          <w:p w14:paraId="0F947909"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8.1</w:t>
            </w:r>
          </w:p>
        </w:tc>
      </w:tr>
      <w:tr w:rsidR="006E111A" w:rsidRPr="00392E0D" w14:paraId="4B9E251F"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24D42F7C"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Inner Regional / Outer Regional</w:t>
            </w:r>
          </w:p>
        </w:tc>
        <w:tc>
          <w:tcPr>
            <w:tcW w:w="974" w:type="dxa"/>
            <w:tcBorders>
              <w:top w:val="single" w:sz="6" w:space="0" w:color="auto"/>
              <w:left w:val="single" w:sz="6" w:space="0" w:color="auto"/>
              <w:bottom w:val="single" w:sz="6" w:space="0" w:color="auto"/>
              <w:right w:val="single" w:sz="6" w:space="0" w:color="auto"/>
            </w:tcBorders>
          </w:tcPr>
          <w:p w14:paraId="7B2E620A"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8.7</w:t>
            </w:r>
          </w:p>
        </w:tc>
        <w:tc>
          <w:tcPr>
            <w:tcW w:w="975" w:type="dxa"/>
            <w:tcBorders>
              <w:top w:val="single" w:sz="6" w:space="0" w:color="auto"/>
              <w:left w:val="single" w:sz="6" w:space="0" w:color="auto"/>
              <w:bottom w:val="single" w:sz="6" w:space="0" w:color="auto"/>
              <w:right w:val="single" w:sz="6" w:space="0" w:color="auto"/>
            </w:tcBorders>
          </w:tcPr>
          <w:p w14:paraId="3D740A1A"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w:t>
            </w:r>
          </w:p>
        </w:tc>
        <w:tc>
          <w:tcPr>
            <w:tcW w:w="974" w:type="dxa"/>
            <w:tcBorders>
              <w:top w:val="single" w:sz="6" w:space="0" w:color="auto"/>
              <w:left w:val="single" w:sz="6" w:space="0" w:color="auto"/>
              <w:bottom w:val="single" w:sz="6" w:space="0" w:color="auto"/>
              <w:right w:val="single" w:sz="6" w:space="0" w:color="auto"/>
            </w:tcBorders>
          </w:tcPr>
          <w:p w14:paraId="27B453A6"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w:t>
            </w:r>
          </w:p>
        </w:tc>
        <w:tc>
          <w:tcPr>
            <w:tcW w:w="975" w:type="dxa"/>
            <w:tcBorders>
              <w:top w:val="single" w:sz="6" w:space="0" w:color="auto"/>
              <w:left w:val="single" w:sz="6" w:space="0" w:color="auto"/>
              <w:bottom w:val="single" w:sz="6" w:space="0" w:color="auto"/>
              <w:right w:val="single" w:sz="6" w:space="0" w:color="auto"/>
            </w:tcBorders>
          </w:tcPr>
          <w:p w14:paraId="4BF9D6BA"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w:t>
            </w:r>
          </w:p>
        </w:tc>
        <w:tc>
          <w:tcPr>
            <w:tcW w:w="974" w:type="dxa"/>
            <w:tcBorders>
              <w:top w:val="single" w:sz="6" w:space="0" w:color="auto"/>
              <w:left w:val="single" w:sz="6" w:space="0" w:color="auto"/>
              <w:bottom w:val="single" w:sz="6" w:space="0" w:color="auto"/>
              <w:right w:val="single" w:sz="6" w:space="0" w:color="auto"/>
            </w:tcBorders>
          </w:tcPr>
          <w:p w14:paraId="4AAF8C17"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w:t>
            </w:r>
          </w:p>
        </w:tc>
      </w:tr>
      <w:tr w:rsidR="006E111A" w:rsidRPr="00392E0D" w14:paraId="71CE35A8" w14:textId="77777777" w:rsidTr="006E111A">
        <w:trPr>
          <w:trHeight w:val="287"/>
        </w:trPr>
        <w:tc>
          <w:tcPr>
            <w:tcW w:w="3774" w:type="dxa"/>
            <w:tcBorders>
              <w:top w:val="single" w:sz="6" w:space="0" w:color="auto"/>
              <w:left w:val="single" w:sz="6" w:space="0" w:color="auto"/>
              <w:bottom w:val="single" w:sz="6" w:space="0" w:color="auto"/>
              <w:right w:val="single" w:sz="6" w:space="0" w:color="auto"/>
            </w:tcBorders>
          </w:tcPr>
          <w:p w14:paraId="0D02FD24" w14:textId="77777777" w:rsidR="006E111A" w:rsidRPr="00392E0D" w:rsidRDefault="006E111A" w:rsidP="006E111A">
            <w:pPr>
              <w:widowControl/>
              <w:adjustRightInd w:val="0"/>
              <w:spacing w:before="60" w:after="60"/>
              <w:rPr>
                <w:rFonts w:ascii="Arial" w:eastAsiaTheme="minorHAnsi" w:hAnsi="Arial" w:cs="Arial"/>
                <w:color w:val="000000"/>
                <w:sz w:val="20"/>
                <w:lang w:val="en-AU"/>
              </w:rPr>
            </w:pPr>
            <w:r w:rsidRPr="00392E0D">
              <w:rPr>
                <w:rFonts w:ascii="Arial" w:eastAsiaTheme="minorHAnsi" w:hAnsi="Arial" w:cs="Arial"/>
                <w:color w:val="000000"/>
                <w:sz w:val="20"/>
                <w:lang w:val="en-AU"/>
              </w:rPr>
              <w:t>Remote / Very Remote</w:t>
            </w:r>
          </w:p>
        </w:tc>
        <w:tc>
          <w:tcPr>
            <w:tcW w:w="974" w:type="dxa"/>
            <w:tcBorders>
              <w:top w:val="single" w:sz="6" w:space="0" w:color="auto"/>
              <w:left w:val="single" w:sz="6" w:space="0" w:color="auto"/>
              <w:bottom w:val="single" w:sz="6" w:space="0" w:color="auto"/>
              <w:right w:val="single" w:sz="6" w:space="0" w:color="auto"/>
            </w:tcBorders>
          </w:tcPr>
          <w:p w14:paraId="46B6109D"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15.3</w:t>
            </w:r>
          </w:p>
        </w:tc>
        <w:tc>
          <w:tcPr>
            <w:tcW w:w="975" w:type="dxa"/>
            <w:tcBorders>
              <w:top w:val="single" w:sz="6" w:space="0" w:color="auto"/>
              <w:left w:val="single" w:sz="6" w:space="0" w:color="auto"/>
              <w:bottom w:val="single" w:sz="6" w:space="0" w:color="auto"/>
              <w:right w:val="single" w:sz="6" w:space="0" w:color="auto"/>
            </w:tcBorders>
          </w:tcPr>
          <w:p w14:paraId="51A83C43"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13.0</w:t>
            </w:r>
          </w:p>
        </w:tc>
        <w:tc>
          <w:tcPr>
            <w:tcW w:w="974" w:type="dxa"/>
            <w:tcBorders>
              <w:top w:val="single" w:sz="6" w:space="0" w:color="auto"/>
              <w:left w:val="single" w:sz="6" w:space="0" w:color="auto"/>
              <w:bottom w:val="single" w:sz="6" w:space="0" w:color="auto"/>
              <w:right w:val="single" w:sz="6" w:space="0" w:color="auto"/>
            </w:tcBorders>
          </w:tcPr>
          <w:p w14:paraId="3E1CBF64"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15.2</w:t>
            </w:r>
          </w:p>
        </w:tc>
        <w:tc>
          <w:tcPr>
            <w:tcW w:w="975" w:type="dxa"/>
            <w:tcBorders>
              <w:top w:val="single" w:sz="6" w:space="0" w:color="auto"/>
              <w:left w:val="single" w:sz="6" w:space="0" w:color="auto"/>
              <w:bottom w:val="single" w:sz="6" w:space="0" w:color="auto"/>
              <w:right w:val="single" w:sz="6" w:space="0" w:color="auto"/>
            </w:tcBorders>
          </w:tcPr>
          <w:p w14:paraId="6FE72C21"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15.4</w:t>
            </w:r>
          </w:p>
        </w:tc>
        <w:tc>
          <w:tcPr>
            <w:tcW w:w="974" w:type="dxa"/>
            <w:tcBorders>
              <w:top w:val="single" w:sz="6" w:space="0" w:color="auto"/>
              <w:left w:val="single" w:sz="6" w:space="0" w:color="auto"/>
              <w:bottom w:val="single" w:sz="6" w:space="0" w:color="auto"/>
              <w:right w:val="single" w:sz="6" w:space="0" w:color="auto"/>
            </w:tcBorders>
          </w:tcPr>
          <w:p w14:paraId="1294CECC" w14:textId="77777777" w:rsidR="006E111A" w:rsidRPr="00392E0D" w:rsidRDefault="006E111A" w:rsidP="004820F8">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14.0</w:t>
            </w:r>
          </w:p>
        </w:tc>
      </w:tr>
    </w:tbl>
    <w:p w14:paraId="506608F0" w14:textId="77777777" w:rsidR="006E111A" w:rsidRPr="00392E0D" w:rsidRDefault="006E111A" w:rsidP="006E111A">
      <w:pPr>
        <w:pStyle w:val="Body"/>
        <w:rPr>
          <w:rFonts w:cs="Arial"/>
        </w:rPr>
      </w:pPr>
      <w:r w:rsidRPr="00392E0D">
        <w:rPr>
          <w:rFonts w:cs="Arial"/>
        </w:rPr>
        <w:br w:type="page"/>
      </w:r>
    </w:p>
    <w:p w14:paraId="364DD383" w14:textId="4B724C26" w:rsidR="004D6E7D" w:rsidRPr="00392E0D" w:rsidRDefault="0026421A" w:rsidP="001E1A5B">
      <w:pPr>
        <w:pStyle w:val="Heading1"/>
        <w:rPr>
          <w:rFonts w:cs="Arial"/>
        </w:rPr>
      </w:pPr>
      <w:bookmarkStart w:id="13" w:name="_Toc99530576"/>
      <w:r w:rsidRPr="00392E0D">
        <w:rPr>
          <w:rFonts w:cs="Arial"/>
        </w:rPr>
        <w:lastRenderedPageBreak/>
        <w:t xml:space="preserve">Case </w:t>
      </w:r>
      <w:r w:rsidR="004820F8">
        <w:rPr>
          <w:rFonts w:cs="Arial"/>
        </w:rPr>
        <w:t>s</w:t>
      </w:r>
      <w:r w:rsidRPr="00392E0D">
        <w:rPr>
          <w:rFonts w:cs="Arial"/>
        </w:rPr>
        <w:t>tudies</w:t>
      </w:r>
      <w:bookmarkEnd w:id="13"/>
    </w:p>
    <w:p w14:paraId="773BFD1D" w14:textId="45A30582" w:rsidR="0026421A" w:rsidRPr="00392E0D" w:rsidRDefault="0026421A" w:rsidP="0026421A">
      <w:pPr>
        <w:pStyle w:val="Heading2"/>
        <w:rPr>
          <w:rFonts w:cs="Arial"/>
        </w:rPr>
      </w:pPr>
      <w:r w:rsidRPr="00392E0D">
        <w:rPr>
          <w:rFonts w:cs="Arial"/>
        </w:rPr>
        <w:t xml:space="preserve">Child and Parent </w:t>
      </w:r>
      <w:proofErr w:type="spellStart"/>
      <w:r w:rsidRPr="00392E0D">
        <w:rPr>
          <w:rFonts w:cs="Arial"/>
        </w:rPr>
        <w:t>Centres</w:t>
      </w:r>
      <w:proofErr w:type="spellEnd"/>
      <w:r w:rsidRPr="00392E0D">
        <w:rPr>
          <w:rFonts w:cs="Arial"/>
        </w:rPr>
        <w:t xml:space="preserve"> in WA support families to get children ready for school</w:t>
      </w:r>
    </w:p>
    <w:p w14:paraId="2E60301C" w14:textId="05C5C439" w:rsidR="0026421A" w:rsidRPr="00392E0D" w:rsidRDefault="0026421A" w:rsidP="0026421A">
      <w:pPr>
        <w:pStyle w:val="Body"/>
        <w:rPr>
          <w:rFonts w:cs="Arial"/>
        </w:rPr>
      </w:pPr>
      <w:r w:rsidRPr="00392E0D">
        <w:rPr>
          <w:rFonts w:cs="Arial"/>
        </w:rPr>
        <w:t xml:space="preserve">The Western Australian Government is committed to ensuring every child has the best start in life and has access to a range of opportunities to develop and learn. In recognition that the early years of a child’s life are critical to their future development, in 2012 the State Government committed to the establishment of 10 Child and Parent </w:t>
      </w:r>
      <w:proofErr w:type="spellStart"/>
      <w:r w:rsidRPr="00392E0D">
        <w:rPr>
          <w:rFonts w:cs="Arial"/>
        </w:rPr>
        <w:t>Centres</w:t>
      </w:r>
      <w:proofErr w:type="spellEnd"/>
      <w:r w:rsidRPr="00392E0D">
        <w:rPr>
          <w:rFonts w:cs="Arial"/>
        </w:rPr>
        <w:t xml:space="preserve">, with five </w:t>
      </w:r>
      <w:proofErr w:type="spellStart"/>
      <w:r w:rsidRPr="00392E0D">
        <w:rPr>
          <w:rFonts w:cs="Arial"/>
        </w:rPr>
        <w:t>centres</w:t>
      </w:r>
      <w:proofErr w:type="spellEnd"/>
      <w:r w:rsidRPr="00392E0D">
        <w:rPr>
          <w:rFonts w:cs="Arial"/>
        </w:rPr>
        <w:t xml:space="preserve"> fully operational for the start of the 2014 school year and a further five for the start of the 2015 school year. There are now 22 </w:t>
      </w:r>
      <w:proofErr w:type="spellStart"/>
      <w:r w:rsidRPr="00392E0D">
        <w:rPr>
          <w:rFonts w:cs="Arial"/>
        </w:rPr>
        <w:t>centres</w:t>
      </w:r>
      <w:proofErr w:type="spellEnd"/>
      <w:r w:rsidRPr="00392E0D">
        <w:rPr>
          <w:rFonts w:cs="Arial"/>
        </w:rPr>
        <w:t xml:space="preserve"> located on, or near, public school sites in communities with higher levels of developmental vulnerability determined by the AEDC results and other demographic factors.</w:t>
      </w:r>
    </w:p>
    <w:p w14:paraId="304DA6B1" w14:textId="5E00A776" w:rsidR="0026421A" w:rsidRPr="00392E0D" w:rsidRDefault="0026421A" w:rsidP="0026421A">
      <w:pPr>
        <w:pStyle w:val="Body"/>
        <w:rPr>
          <w:rFonts w:cs="Arial"/>
        </w:rPr>
      </w:pPr>
      <w:r w:rsidRPr="00392E0D">
        <w:rPr>
          <w:rFonts w:cs="Arial"/>
        </w:rPr>
        <w:t xml:space="preserve">The Child and Parent </w:t>
      </w:r>
      <w:proofErr w:type="spellStart"/>
      <w:r w:rsidRPr="00392E0D">
        <w:rPr>
          <w:rFonts w:cs="Arial"/>
        </w:rPr>
        <w:t>Centres</w:t>
      </w:r>
      <w:proofErr w:type="spellEnd"/>
      <w:r w:rsidRPr="00392E0D">
        <w:rPr>
          <w:rFonts w:cs="Arial"/>
        </w:rPr>
        <w:t xml:space="preserve"> are funded by the State Government and are operated by 13 non-government </w:t>
      </w:r>
      <w:proofErr w:type="spellStart"/>
      <w:r w:rsidRPr="00392E0D">
        <w:rPr>
          <w:rFonts w:cs="Arial"/>
        </w:rPr>
        <w:t>organisations</w:t>
      </w:r>
      <w:proofErr w:type="spellEnd"/>
      <w:r w:rsidRPr="00392E0D">
        <w:rPr>
          <w:rFonts w:cs="Arial"/>
        </w:rPr>
        <w:t xml:space="preserve"> in collaboration with local schools, the Departments of Education, Health and Communities and other child and adult service providers. The </w:t>
      </w:r>
      <w:proofErr w:type="spellStart"/>
      <w:r w:rsidRPr="00392E0D">
        <w:rPr>
          <w:rFonts w:cs="Arial"/>
        </w:rPr>
        <w:t>centres</w:t>
      </w:r>
      <w:proofErr w:type="spellEnd"/>
      <w:r w:rsidRPr="00392E0D">
        <w:rPr>
          <w:rFonts w:cs="Arial"/>
        </w:rPr>
        <w:t xml:space="preserve"> are part of a broader early years’ strategy to ensure that children are ready to start school, and that families feel better supported and more confident in raising their children. The </w:t>
      </w:r>
      <w:proofErr w:type="spellStart"/>
      <w:r w:rsidRPr="00392E0D">
        <w:rPr>
          <w:rFonts w:cs="Arial"/>
        </w:rPr>
        <w:t>centres</w:t>
      </w:r>
      <w:proofErr w:type="spellEnd"/>
      <w:r w:rsidRPr="00392E0D">
        <w:rPr>
          <w:rFonts w:cs="Arial"/>
        </w:rPr>
        <w:t xml:space="preserve"> have used the AEDC data to raise awareness of the importance of the early years and identify program and service priorities to meet the needs of children and families in the local community.</w:t>
      </w:r>
    </w:p>
    <w:p w14:paraId="60713619" w14:textId="119FABD3" w:rsidR="00DC4363" w:rsidRPr="00392E0D" w:rsidRDefault="00DC4363" w:rsidP="00DC4363">
      <w:pPr>
        <w:pStyle w:val="Body"/>
        <w:rPr>
          <w:rFonts w:cs="Arial"/>
        </w:rPr>
      </w:pPr>
      <w:r w:rsidRPr="00392E0D">
        <w:rPr>
          <w:rFonts w:cs="Arial"/>
        </w:rPr>
        <w:t xml:space="preserve">For this and other stories visit </w:t>
      </w:r>
      <w:hyperlink r:id="rId26" w:history="1">
        <w:r w:rsidRPr="00392E0D">
          <w:rPr>
            <w:rStyle w:val="Hyperlink"/>
            <w:rFonts w:cs="Arial"/>
            <w:color w:val="000000" w:themeColor="text1"/>
          </w:rPr>
          <w:t>aedc.gov.au/cs</w:t>
        </w:r>
      </w:hyperlink>
    </w:p>
    <w:p w14:paraId="2E00A5D3" w14:textId="77777777" w:rsidR="0026421A" w:rsidRPr="00392E0D" w:rsidRDefault="0026421A" w:rsidP="0026421A">
      <w:pPr>
        <w:pStyle w:val="Heading2"/>
        <w:rPr>
          <w:rFonts w:cs="Arial"/>
        </w:rPr>
      </w:pPr>
      <w:r w:rsidRPr="00392E0D">
        <w:rPr>
          <w:rFonts w:cs="Arial"/>
        </w:rPr>
        <w:t>Life-course approach to monitoring helps strengthen families and communities (Victoria)</w:t>
      </w:r>
    </w:p>
    <w:p w14:paraId="69E65B1A" w14:textId="77777777" w:rsidR="0026421A" w:rsidRPr="00392E0D" w:rsidRDefault="0026421A" w:rsidP="0026421A">
      <w:pPr>
        <w:pStyle w:val="Body"/>
        <w:rPr>
          <w:rFonts w:cs="Arial"/>
        </w:rPr>
      </w:pPr>
      <w:r w:rsidRPr="00392E0D">
        <w:rPr>
          <w:rFonts w:cs="Arial"/>
        </w:rPr>
        <w:t xml:space="preserve">The Comprehensive Monitoring System (CMS) is an AEDC extension project in Victoria which </w:t>
      </w:r>
      <w:proofErr w:type="spellStart"/>
      <w:r w:rsidRPr="00392E0D">
        <w:rPr>
          <w:rFonts w:cs="Arial"/>
        </w:rPr>
        <w:t>utilises</w:t>
      </w:r>
      <w:proofErr w:type="spellEnd"/>
      <w:r w:rsidRPr="00392E0D">
        <w:rPr>
          <w:rFonts w:cs="Arial"/>
        </w:rPr>
        <w:t xml:space="preserve"> the AEDC as a “baseline” dataset for tracking outcomes through middle childhood, adolescence and into young adulthood, as well as an outcome measure for early childhood.</w:t>
      </w:r>
    </w:p>
    <w:p w14:paraId="4541F147" w14:textId="77777777" w:rsidR="0026421A" w:rsidRPr="00392E0D" w:rsidRDefault="0026421A" w:rsidP="0026421A">
      <w:pPr>
        <w:pStyle w:val="Body"/>
        <w:rPr>
          <w:rFonts w:cs="Arial"/>
        </w:rPr>
      </w:pPr>
      <w:r w:rsidRPr="00392E0D">
        <w:rPr>
          <w:rFonts w:cs="Arial"/>
        </w:rPr>
        <w:t>The project emerged from the desire of both governments and local communities to create a unique longitudinal community cohort, following the triennial approach taken by the AEDC. It builds on the Australian Temperament Project which, over the past three decades, has been systematically following the health and development of over 2000 young Australians, from infancy to adulthood and into the next generation.</w:t>
      </w:r>
    </w:p>
    <w:p w14:paraId="0DD1FBCD" w14:textId="77777777" w:rsidR="0026421A" w:rsidRPr="00392E0D" w:rsidRDefault="0026421A" w:rsidP="0026421A">
      <w:pPr>
        <w:pStyle w:val="Body"/>
        <w:rPr>
          <w:rFonts w:cs="Arial"/>
        </w:rPr>
      </w:pPr>
      <w:r w:rsidRPr="00392E0D">
        <w:rPr>
          <w:rFonts w:cs="Arial"/>
        </w:rPr>
        <w:t>The CMS collects information about children and young people’s social and emotional health through seven short surveys in addition to the AEDC. These surveys are delivered at key developmental points in life: infancy, toddlerhood, Year 3, Year 6, Year 9, Year 12, at 21 years of age and they determine if the best and most effective community programs and supports are in place.</w:t>
      </w:r>
    </w:p>
    <w:p w14:paraId="4BB59421" w14:textId="77777777" w:rsidR="0026421A" w:rsidRPr="00392E0D" w:rsidRDefault="0026421A" w:rsidP="0026421A">
      <w:pPr>
        <w:pStyle w:val="Body"/>
        <w:rPr>
          <w:rFonts w:cs="Arial"/>
        </w:rPr>
      </w:pPr>
      <w:r w:rsidRPr="00392E0D">
        <w:rPr>
          <w:rFonts w:cs="Arial"/>
        </w:rPr>
        <w:t>This “life-course” approach to monitoring the social and emotional growth of children and young people is an important step for strengthening families and communities.</w:t>
      </w:r>
    </w:p>
    <w:p w14:paraId="0CFF38AF" w14:textId="697F0020" w:rsidR="0026421A" w:rsidRPr="00392E0D" w:rsidRDefault="0026421A" w:rsidP="0026421A">
      <w:pPr>
        <w:pStyle w:val="Body"/>
        <w:rPr>
          <w:rFonts w:cs="Arial"/>
        </w:rPr>
      </w:pPr>
      <w:r w:rsidRPr="00392E0D">
        <w:rPr>
          <w:rFonts w:cs="Arial"/>
        </w:rPr>
        <w:t xml:space="preserve">The 2021 trial of the CMS is being conducted in the Victorian Shires of </w:t>
      </w:r>
      <w:proofErr w:type="spellStart"/>
      <w:r w:rsidRPr="00392E0D">
        <w:rPr>
          <w:rFonts w:cs="Arial"/>
        </w:rPr>
        <w:t>Buloke</w:t>
      </w:r>
      <w:proofErr w:type="spellEnd"/>
      <w:r w:rsidRPr="00392E0D">
        <w:rPr>
          <w:rFonts w:cs="Arial"/>
        </w:rPr>
        <w:t>, Loddon and Gannawarra. The work is being jointly progressed by the Centre for Social and Early Emotional Development (SEED) at Deakin University, the Victorian Department of Education and Training, and the Human Early Learning Partnership (University of British Columbia, Canada</w:t>
      </w:r>
      <w:r w:rsidR="00DC4363" w:rsidRPr="00392E0D">
        <w:rPr>
          <w:rFonts w:cs="Arial"/>
        </w:rPr>
        <w:t>.</w:t>
      </w:r>
    </w:p>
    <w:p w14:paraId="70F07D42" w14:textId="358F6C42" w:rsidR="00DC4363" w:rsidRPr="00392E0D" w:rsidRDefault="00DC4363" w:rsidP="00DC4363">
      <w:pPr>
        <w:pStyle w:val="Body"/>
        <w:rPr>
          <w:rFonts w:cs="Arial"/>
        </w:rPr>
      </w:pPr>
      <w:r w:rsidRPr="00392E0D">
        <w:rPr>
          <w:rFonts w:cs="Arial"/>
        </w:rPr>
        <w:t xml:space="preserve">For this and other stories visit </w:t>
      </w:r>
      <w:hyperlink r:id="rId27" w:history="1">
        <w:r w:rsidRPr="00392E0D">
          <w:rPr>
            <w:rStyle w:val="Hyperlink"/>
            <w:rFonts w:cs="Arial"/>
            <w:color w:val="000000" w:themeColor="text1"/>
          </w:rPr>
          <w:t>aedc.gov.au/cs</w:t>
        </w:r>
      </w:hyperlink>
    </w:p>
    <w:p w14:paraId="7ED949C8" w14:textId="4834CA7A" w:rsidR="00DC4363" w:rsidRPr="00392E0D" w:rsidRDefault="00DC4363">
      <w:pPr>
        <w:widowControl/>
        <w:autoSpaceDE/>
        <w:autoSpaceDN/>
        <w:rPr>
          <w:rFonts w:ascii="Arial" w:eastAsia="Times New Roman" w:hAnsi="Arial" w:cs="Arial"/>
          <w:sz w:val="21"/>
          <w:szCs w:val="20"/>
        </w:rPr>
      </w:pPr>
      <w:r w:rsidRPr="00392E0D">
        <w:rPr>
          <w:rFonts w:ascii="Arial" w:hAnsi="Arial" w:cs="Arial"/>
        </w:rPr>
        <w:br w:type="page"/>
      </w:r>
    </w:p>
    <w:p w14:paraId="2C489804" w14:textId="01D30977" w:rsidR="00DC4363" w:rsidRPr="00392E0D" w:rsidRDefault="00DC4363" w:rsidP="001E1A5B">
      <w:pPr>
        <w:pStyle w:val="Heading1"/>
        <w:rPr>
          <w:rFonts w:cs="Arial"/>
        </w:rPr>
      </w:pPr>
      <w:bookmarkStart w:id="14" w:name="_Toc99530577"/>
      <w:r w:rsidRPr="00392E0D">
        <w:rPr>
          <w:rFonts w:cs="Arial"/>
        </w:rPr>
        <w:lastRenderedPageBreak/>
        <w:t>Appendix 1</w:t>
      </w:r>
      <w:r w:rsidRPr="00392E0D">
        <w:rPr>
          <w:rFonts w:cs="Arial"/>
        </w:rPr>
        <w:tab/>
        <w:t>Background to the AEDC</w:t>
      </w:r>
      <w:bookmarkEnd w:id="14"/>
    </w:p>
    <w:p w14:paraId="4A06584D" w14:textId="77777777" w:rsidR="00DC4363" w:rsidRPr="00392E0D" w:rsidRDefault="00DC4363" w:rsidP="00DC4363">
      <w:pPr>
        <w:pStyle w:val="Heading2"/>
        <w:rPr>
          <w:rFonts w:cs="Arial"/>
        </w:rPr>
      </w:pPr>
      <w:r w:rsidRPr="00392E0D">
        <w:rPr>
          <w:rFonts w:cs="Arial"/>
        </w:rPr>
        <w:t>Background</w:t>
      </w:r>
      <w:r w:rsidRPr="00392E0D">
        <w:rPr>
          <w:rFonts w:cs="Arial"/>
          <w:spacing w:val="-10"/>
        </w:rPr>
        <w:t xml:space="preserve"> </w:t>
      </w:r>
      <w:r w:rsidRPr="00392E0D">
        <w:rPr>
          <w:rFonts w:cs="Arial"/>
        </w:rPr>
        <w:t>to</w:t>
      </w:r>
      <w:r w:rsidRPr="00392E0D">
        <w:rPr>
          <w:rFonts w:cs="Arial"/>
          <w:spacing w:val="-10"/>
        </w:rPr>
        <w:t xml:space="preserve"> </w:t>
      </w:r>
      <w:r w:rsidRPr="00392E0D">
        <w:rPr>
          <w:rFonts w:cs="Arial"/>
        </w:rPr>
        <w:t>the</w:t>
      </w:r>
      <w:r w:rsidRPr="00392E0D">
        <w:rPr>
          <w:rFonts w:cs="Arial"/>
          <w:spacing w:val="-10"/>
        </w:rPr>
        <w:t xml:space="preserve"> </w:t>
      </w:r>
      <w:r w:rsidRPr="00392E0D">
        <w:rPr>
          <w:rFonts w:cs="Arial"/>
        </w:rPr>
        <w:t>AEDC</w:t>
      </w:r>
    </w:p>
    <w:p w14:paraId="2E1CC2D0" w14:textId="77777777" w:rsidR="00DC4363" w:rsidRPr="00392E0D" w:rsidRDefault="00DC4363" w:rsidP="00DC4363">
      <w:pPr>
        <w:pStyle w:val="Body"/>
        <w:rPr>
          <w:rFonts w:cs="Arial"/>
        </w:rPr>
      </w:pPr>
      <w:r w:rsidRPr="00392E0D">
        <w:rPr>
          <w:rFonts w:cs="Arial"/>
        </w:rPr>
        <w:t>The AEDC is a national measure of children’s development, as they enter their first year of full-time school.</w:t>
      </w:r>
    </w:p>
    <w:p w14:paraId="19C1C9A0" w14:textId="5D5FB23A" w:rsidR="00DC4363" w:rsidRPr="00392E0D" w:rsidRDefault="00DC4363" w:rsidP="00DC4363">
      <w:pPr>
        <w:pStyle w:val="Body"/>
        <w:rPr>
          <w:rFonts w:cs="Arial"/>
        </w:rPr>
      </w:pPr>
      <w:r w:rsidRPr="00392E0D">
        <w:rPr>
          <w:rFonts w:cs="Arial"/>
        </w:rPr>
        <w:t>The data for the AEDC is collected using the Australian version of the Early Development Instrument (AvEDI). Participation is voluntary with data collected through the cooperation of parents and the active involvement of the government, Catholic and Independent school</w:t>
      </w:r>
      <w:r w:rsidR="001424FD">
        <w:rPr>
          <w:rFonts w:cs="Arial"/>
        </w:rPr>
        <w:t>’</w:t>
      </w:r>
      <w:r w:rsidRPr="00392E0D">
        <w:rPr>
          <w:rFonts w:cs="Arial"/>
        </w:rPr>
        <w:t>s sectors across Australia. Instruments are completed based on teacher’s knowledge and observation of children, along with demographic information from children’s school enrolment forms.</w:t>
      </w:r>
    </w:p>
    <w:p w14:paraId="3A60BBF8" w14:textId="77777777" w:rsidR="00DC4363" w:rsidRPr="00392E0D" w:rsidRDefault="00DC4363" w:rsidP="00DC4363">
      <w:pPr>
        <w:pStyle w:val="Body"/>
        <w:rPr>
          <w:rFonts w:cs="Arial"/>
        </w:rPr>
      </w:pPr>
      <w:r w:rsidRPr="00392E0D">
        <w:rPr>
          <w:rFonts w:cs="Arial"/>
        </w:rPr>
        <w:t>With data collected every three years since 2009, the 2021 collection represents the fifth collection in the series.</w:t>
      </w:r>
    </w:p>
    <w:p w14:paraId="2C17DF74" w14:textId="77777777" w:rsidR="00DC4363" w:rsidRPr="00392E0D" w:rsidRDefault="00DC4363" w:rsidP="00DC4363">
      <w:pPr>
        <w:pStyle w:val="Body"/>
        <w:rPr>
          <w:rFonts w:cs="Arial"/>
        </w:rPr>
      </w:pPr>
      <w:r w:rsidRPr="00392E0D">
        <w:rPr>
          <w:rFonts w:cs="Arial"/>
        </w:rPr>
        <w:t>The AEDC highlights what is working well and what needs to be improved or developed to support children and their families, and helps communities know how their children are progressing. As a population-based measure, the AEDC is not designed to be an individual diagnostic tool. As such, results are reported at a community level.</w:t>
      </w:r>
    </w:p>
    <w:p w14:paraId="2AE42E1F" w14:textId="77777777" w:rsidR="00DC4363" w:rsidRPr="00392E0D" w:rsidRDefault="00DC4363" w:rsidP="00DC4363">
      <w:pPr>
        <w:pStyle w:val="Body"/>
        <w:rPr>
          <w:rFonts w:cs="Arial"/>
        </w:rPr>
      </w:pPr>
      <w:r w:rsidRPr="00392E0D">
        <w:rPr>
          <w:rFonts w:cs="Arial"/>
        </w:rPr>
        <w:t>The AEDC provides evidence to guide planning and service-provision to ensure children are supported through their early years, school years and beyond.</w:t>
      </w:r>
    </w:p>
    <w:p w14:paraId="7DEB3D8C" w14:textId="77777777" w:rsidR="00DC4363" w:rsidRPr="00392E0D" w:rsidRDefault="00DC4363" w:rsidP="00DC4363">
      <w:pPr>
        <w:pStyle w:val="Heading2"/>
        <w:rPr>
          <w:rFonts w:cs="Arial"/>
        </w:rPr>
      </w:pPr>
      <w:r w:rsidRPr="00392E0D">
        <w:rPr>
          <w:rFonts w:cs="Arial"/>
        </w:rPr>
        <w:t>History of the AEDC</w:t>
      </w:r>
    </w:p>
    <w:p w14:paraId="4CB9A5E5" w14:textId="51EDC2A9" w:rsidR="00DC4363" w:rsidRPr="00392E0D" w:rsidRDefault="00DC4363" w:rsidP="00DC4363">
      <w:pPr>
        <w:pStyle w:val="Body"/>
        <w:rPr>
          <w:rFonts w:cs="Arial"/>
        </w:rPr>
      </w:pPr>
      <w:r w:rsidRPr="00392E0D">
        <w:rPr>
          <w:rFonts w:cs="Arial"/>
        </w:rPr>
        <w:t xml:space="preserve">The fifth national roll-out of the AEDC benefits from more than 19 years of implementation in Australia. In 2002, the Canadian Early Development Instrument (EDI) was tested through </w:t>
      </w:r>
      <w:proofErr w:type="gramStart"/>
      <w:r w:rsidRPr="00392E0D">
        <w:rPr>
          <w:rFonts w:cs="Arial"/>
        </w:rPr>
        <w:t>a number of</w:t>
      </w:r>
      <w:proofErr w:type="gramEnd"/>
      <w:r w:rsidRPr="00392E0D">
        <w:rPr>
          <w:rFonts w:cs="Arial"/>
        </w:rPr>
        <w:t xml:space="preserve"> pilot studies across the northern metropolitan suburbs of Perth in Western Australia. This resulted in the Australian Government funding the Australian Early Development Index: Building Better Communities for Children project between 2004 and 2008. Through this project, </w:t>
      </w:r>
      <w:proofErr w:type="gramStart"/>
      <w:r w:rsidRPr="00392E0D">
        <w:rPr>
          <w:rFonts w:cs="Arial"/>
        </w:rPr>
        <w:t>a number of</w:t>
      </w:r>
      <w:proofErr w:type="gramEnd"/>
      <w:r w:rsidRPr="00392E0D">
        <w:rPr>
          <w:rFonts w:cs="Arial"/>
        </w:rPr>
        <w:t xml:space="preserve"> validation studies and national trials across 60 communities were undertaken to ensure rigorous adaptation of the Canadian EDI to the AvEDI. An Indigenous Adaptation Study was also undertaken to assess the cultural validity of the EDI for Aboriginal and Torres Strait Islander children and adapt it to make it relevant to Australia’s diverse cultural population.</w:t>
      </w:r>
    </w:p>
    <w:p w14:paraId="63F80723" w14:textId="400A521F" w:rsidR="00DC4363" w:rsidRPr="00392E0D" w:rsidRDefault="00DC4363" w:rsidP="00DC4363">
      <w:pPr>
        <w:pStyle w:val="Body"/>
        <w:rPr>
          <w:rFonts w:cs="Arial"/>
        </w:rPr>
      </w:pPr>
      <w:r w:rsidRPr="00392E0D">
        <w:rPr>
          <w:rFonts w:cs="Arial"/>
        </w:rPr>
        <w:t>Following the success of these studies the Australian Government funded the national roll-out of the Australian Early Development Index in 2009, becoming the first country in the world to collect national data on the developmental health and wellbeing of all children as they enter school.</w:t>
      </w:r>
    </w:p>
    <w:p w14:paraId="256ADC95" w14:textId="095671B6" w:rsidR="00DC4363" w:rsidRPr="00392E0D" w:rsidRDefault="00DC4363" w:rsidP="00DC4363">
      <w:pPr>
        <w:pStyle w:val="Body"/>
        <w:rPr>
          <w:rFonts w:cs="Arial"/>
        </w:rPr>
      </w:pPr>
      <w:r w:rsidRPr="00392E0D">
        <w:rPr>
          <w:rFonts w:cs="Arial"/>
        </w:rPr>
        <w:t>The success of the 2009 collection led to the Australian Government’s commitment to funding the ongoing national measurement of the health and wellbeing of children in Australia. In 2012, the national collection was rolled out for a second time, using the same approach as the first collection. In July 2014, the name was changed to the Australian Early Development Census, to differentiate the program of work from the Instrument. Subsequent rounds of the AEDC have since been completed every three years, with the 2021 collection being the fifth collection.</w:t>
      </w:r>
    </w:p>
    <w:p w14:paraId="17874174" w14:textId="77777777" w:rsidR="00DC4363" w:rsidRPr="00392E0D" w:rsidRDefault="00DC4363" w:rsidP="00DC4363">
      <w:pPr>
        <w:pStyle w:val="Heading2"/>
        <w:rPr>
          <w:rFonts w:cs="Arial"/>
        </w:rPr>
      </w:pPr>
      <w:r w:rsidRPr="00392E0D">
        <w:rPr>
          <w:rFonts w:cs="Arial"/>
        </w:rPr>
        <w:t>About the AEDC domains</w:t>
      </w:r>
    </w:p>
    <w:p w14:paraId="3AE6ACB3" w14:textId="5A38F911" w:rsidR="00DC4363" w:rsidRPr="00392E0D" w:rsidRDefault="00DC4363" w:rsidP="00DC4363">
      <w:pPr>
        <w:pStyle w:val="Body"/>
        <w:rPr>
          <w:rFonts w:cs="Arial"/>
          <w:color w:val="000000" w:themeColor="text1"/>
        </w:rPr>
      </w:pPr>
      <w:r w:rsidRPr="00392E0D">
        <w:rPr>
          <w:rFonts w:cs="Arial"/>
        </w:rPr>
        <w:t>The AvEDI is a reliable and valid measure of child development. Test-retest reliability and inter-rater reliability studies have established that teachers are able to make clear and consistent judgements of children using the AvEDI items and that different teachers tend to rate children similarly. Please refer to the fact sheet on the reliability and validity of the AvEDI (</w:t>
      </w:r>
      <w:hyperlink r:id="rId28" w:history="1">
        <w:r w:rsidRPr="00392E0D">
          <w:rPr>
            <w:rStyle w:val="Hyperlink"/>
            <w:rFonts w:cs="Arial"/>
            <w:color w:val="000000" w:themeColor="text1"/>
          </w:rPr>
          <w:t>aedc.gov.au/</w:t>
        </w:r>
        <w:proofErr w:type="spellStart"/>
        <w:r w:rsidRPr="00392E0D">
          <w:rPr>
            <w:rStyle w:val="Hyperlink"/>
            <w:rFonts w:cs="Arial"/>
            <w:color w:val="000000" w:themeColor="text1"/>
          </w:rPr>
          <w:t>fsvalid</w:t>
        </w:r>
        <w:proofErr w:type="spellEnd"/>
      </w:hyperlink>
      <w:r w:rsidRPr="00392E0D">
        <w:rPr>
          <w:rFonts w:cs="Arial"/>
          <w:color w:val="000000" w:themeColor="text1"/>
        </w:rPr>
        <w:t>).</w:t>
      </w:r>
    </w:p>
    <w:p w14:paraId="3E7C134A" w14:textId="77777777" w:rsidR="00DC4363" w:rsidRPr="00392E0D" w:rsidRDefault="00DC4363" w:rsidP="00DC4363">
      <w:pPr>
        <w:pStyle w:val="Body"/>
        <w:rPr>
          <w:rFonts w:cs="Arial"/>
        </w:rPr>
      </w:pPr>
      <w:r w:rsidRPr="00392E0D">
        <w:rPr>
          <w:rFonts w:cs="Arial"/>
        </w:rPr>
        <w:t>For each of the five AEDC domains, children receive a score between 0 and 10, where 10 is the highest score possible.</w:t>
      </w:r>
    </w:p>
    <w:p w14:paraId="53E768AB" w14:textId="6A419B4D" w:rsidR="00DC4363" w:rsidRPr="00392E0D" w:rsidRDefault="00DC4363" w:rsidP="00DC4363">
      <w:pPr>
        <w:pStyle w:val="Body"/>
        <w:rPr>
          <w:rFonts w:cs="Arial"/>
        </w:rPr>
      </w:pPr>
      <w:r w:rsidRPr="00392E0D">
        <w:rPr>
          <w:rFonts w:cs="Arial"/>
        </w:rPr>
        <w:t xml:space="preserve">In 2009, when the AEDC was first completed nationally, a series of cut-off scores was established for each of the five domains. Children falling below the 10th percentile were considered ‘developmentally vulnerable’, children falling between the 10th and 25th percentile were considered ‘developmentally at risk’, and all other children </w:t>
      </w:r>
      <w:proofErr w:type="gramStart"/>
      <w:r w:rsidRPr="00392E0D">
        <w:rPr>
          <w:rFonts w:cs="Arial"/>
        </w:rPr>
        <w:t>were considered to be</w:t>
      </w:r>
      <w:proofErr w:type="gramEnd"/>
      <w:r w:rsidRPr="00392E0D">
        <w:rPr>
          <w:rFonts w:cs="Arial"/>
        </w:rPr>
        <w:t xml:space="preserve"> ‘developmentally on track’. The cut-off scores set in 2009 provide a reference point against which AEDC results can be compared.</w:t>
      </w:r>
    </w:p>
    <w:p w14:paraId="181EC804" w14:textId="71EFC4CB" w:rsidR="00DC4363" w:rsidRPr="00392E0D" w:rsidRDefault="00DC4363" w:rsidP="00DC4363">
      <w:pPr>
        <w:pStyle w:val="Body"/>
        <w:rPr>
          <w:rFonts w:cs="Arial"/>
        </w:rPr>
      </w:pPr>
      <w:r w:rsidRPr="00392E0D">
        <w:rPr>
          <w:rFonts w:cs="Arial"/>
        </w:rPr>
        <w:t>These have remained the same across all five collection cycles.</w:t>
      </w:r>
    </w:p>
    <w:p w14:paraId="30148946" w14:textId="77777777" w:rsidR="004C1F6C" w:rsidRPr="00392E0D" w:rsidRDefault="004C1F6C" w:rsidP="004C1F6C">
      <w:pPr>
        <w:pStyle w:val="Heading2"/>
        <w:rPr>
          <w:rFonts w:cs="Arial"/>
        </w:rPr>
      </w:pPr>
      <w:r w:rsidRPr="00392E0D">
        <w:rPr>
          <w:rFonts w:cs="Arial"/>
        </w:rPr>
        <w:lastRenderedPageBreak/>
        <w:t>Reporting on children with special needs</w:t>
      </w:r>
    </w:p>
    <w:p w14:paraId="06C6AE04" w14:textId="56B7D9E4" w:rsidR="004C1F6C" w:rsidRPr="00392E0D" w:rsidRDefault="004C1F6C" w:rsidP="004C1F6C">
      <w:pPr>
        <w:pStyle w:val="Body"/>
        <w:rPr>
          <w:rFonts w:cs="Arial"/>
          <w:color w:val="000000" w:themeColor="text1"/>
        </w:rPr>
      </w:pPr>
      <w:r w:rsidRPr="00392E0D">
        <w:rPr>
          <w:rFonts w:cs="Arial"/>
        </w:rPr>
        <w:t xml:space="preserve">AEDC results are not reported for children with special needs in the national and community results. This is because their development needs have previously been identified. However, teachers complete the instrument and demographic information on children with special needs to enable communities to be responsive to all children in their community. Upon request, researchers may access data on special needs </w:t>
      </w:r>
      <w:r w:rsidRPr="00392E0D">
        <w:rPr>
          <w:rFonts w:cs="Arial"/>
          <w:color w:val="000000" w:themeColor="text1"/>
        </w:rPr>
        <w:t>children. Further information can be found at Understanding the AEDC Results (</w:t>
      </w:r>
      <w:hyperlink r:id="rId29" w:history="1">
        <w:r w:rsidRPr="00392E0D">
          <w:rPr>
            <w:rStyle w:val="Hyperlink"/>
            <w:rFonts w:cs="Arial"/>
            <w:color w:val="000000" w:themeColor="text1"/>
          </w:rPr>
          <w:t>aedc.gov.au/</w:t>
        </w:r>
        <w:proofErr w:type="spellStart"/>
        <w:r w:rsidRPr="00392E0D">
          <w:rPr>
            <w:rStyle w:val="Hyperlink"/>
            <w:rFonts w:cs="Arial"/>
            <w:color w:val="000000" w:themeColor="text1"/>
          </w:rPr>
          <w:t>unders</w:t>
        </w:r>
        <w:proofErr w:type="spellEnd"/>
      </w:hyperlink>
      <w:r w:rsidRPr="00392E0D">
        <w:rPr>
          <w:rFonts w:cs="Arial"/>
          <w:color w:val="000000" w:themeColor="text1"/>
        </w:rPr>
        <w:t>).</w:t>
      </w:r>
    </w:p>
    <w:p w14:paraId="3C03A7A6" w14:textId="77777777" w:rsidR="004C1F6C" w:rsidRPr="00392E0D" w:rsidRDefault="004C1F6C" w:rsidP="004C1F6C">
      <w:pPr>
        <w:pStyle w:val="Heading2"/>
        <w:rPr>
          <w:rFonts w:cs="Arial"/>
        </w:rPr>
      </w:pPr>
      <w:r w:rsidRPr="00392E0D">
        <w:rPr>
          <w:rFonts w:cs="Arial"/>
        </w:rPr>
        <w:t>How to compare results across years</w:t>
      </w:r>
    </w:p>
    <w:p w14:paraId="7343637E" w14:textId="77777777" w:rsidR="004C1F6C" w:rsidRPr="00392E0D" w:rsidRDefault="004C1F6C" w:rsidP="004C1F6C">
      <w:pPr>
        <w:pStyle w:val="Body"/>
        <w:rPr>
          <w:rFonts w:cs="Arial"/>
        </w:rPr>
      </w:pPr>
      <w:r w:rsidRPr="00392E0D">
        <w:rPr>
          <w:rFonts w:cs="Arial"/>
        </w:rPr>
        <w:t>With data sets covering five collections, results from 2009 (referred to as ‘baseline’), 2012, 2015, 2018 and 2021 can be compared to assess changes in child development over time.</w:t>
      </w:r>
    </w:p>
    <w:p w14:paraId="4CF92E54" w14:textId="71A0D1ED" w:rsidR="004C1F6C" w:rsidRPr="00392E0D" w:rsidRDefault="004C1F6C" w:rsidP="004C1F6C">
      <w:pPr>
        <w:pStyle w:val="Body"/>
        <w:rPr>
          <w:rFonts w:cs="Arial"/>
        </w:rPr>
      </w:pPr>
      <w:r w:rsidRPr="00392E0D">
        <w:rPr>
          <w:rFonts w:cs="Arial"/>
        </w:rPr>
        <w:t>Changes in AEDC data look larger in some areas than in others, especially where there are small numbers of children. To support people to consider the size of the change in their area, a method has been developed called the ‘critical difference’.</w:t>
      </w:r>
    </w:p>
    <w:p w14:paraId="2752C5BE" w14:textId="77777777" w:rsidR="004C1F6C" w:rsidRPr="00392E0D" w:rsidRDefault="004C1F6C" w:rsidP="004C1F6C">
      <w:pPr>
        <w:pStyle w:val="Body"/>
        <w:rPr>
          <w:rFonts w:cs="Arial"/>
        </w:rPr>
      </w:pPr>
      <w:r w:rsidRPr="00392E0D">
        <w:rPr>
          <w:rFonts w:cs="Arial"/>
        </w:rPr>
        <w:t>The critical difference is the minimum percentage point change required between collection cycles (2009, 2012, 2015, 2018, 2021) for the results to represent a ‘significant change’ in children’s development.</w:t>
      </w:r>
    </w:p>
    <w:p w14:paraId="0C5285F1" w14:textId="2EBD42A8" w:rsidR="004C1F6C" w:rsidRPr="00392E0D" w:rsidRDefault="004C1F6C" w:rsidP="004C1F6C">
      <w:pPr>
        <w:pStyle w:val="Body"/>
        <w:rPr>
          <w:rFonts w:cs="Arial"/>
          <w:color w:val="000000" w:themeColor="text1"/>
        </w:rPr>
      </w:pPr>
      <w:r w:rsidRPr="00392E0D">
        <w:rPr>
          <w:rFonts w:cs="Arial"/>
        </w:rPr>
        <w:t xml:space="preserve">For more information on the calculation of the critical difference, refer to the AEDC technical report </w:t>
      </w:r>
      <w:r w:rsidRPr="00392E0D">
        <w:rPr>
          <w:rFonts w:cs="Arial"/>
          <w:color w:val="000000" w:themeColor="text1"/>
        </w:rPr>
        <w:t>Calculation of the Critical Difference (</w:t>
      </w:r>
      <w:hyperlink r:id="rId30" w:history="1">
        <w:r w:rsidRPr="00392E0D">
          <w:rPr>
            <w:rStyle w:val="Hyperlink"/>
            <w:rFonts w:cs="Arial"/>
            <w:color w:val="000000" w:themeColor="text1"/>
          </w:rPr>
          <w:t>aedc.gov.au/</w:t>
        </w:r>
        <w:proofErr w:type="spellStart"/>
        <w:r w:rsidRPr="00392E0D">
          <w:rPr>
            <w:rStyle w:val="Hyperlink"/>
            <w:rFonts w:cs="Arial"/>
            <w:color w:val="000000" w:themeColor="text1"/>
          </w:rPr>
          <w:t>trcd</w:t>
        </w:r>
        <w:proofErr w:type="spellEnd"/>
      </w:hyperlink>
      <w:r w:rsidRPr="00392E0D">
        <w:rPr>
          <w:rFonts w:cs="Arial"/>
          <w:color w:val="000000" w:themeColor="text1"/>
        </w:rPr>
        <w:t>) and the fact sheet Comparing AEDC results over time: 2009 to 2021 (</w:t>
      </w:r>
      <w:hyperlink r:id="rId31" w:history="1">
        <w:r w:rsidRPr="00392E0D">
          <w:rPr>
            <w:rStyle w:val="Hyperlink"/>
            <w:rFonts w:cs="Arial"/>
            <w:color w:val="000000" w:themeColor="text1"/>
          </w:rPr>
          <w:t>aedc.gov.au/cd</w:t>
        </w:r>
      </w:hyperlink>
      <w:r w:rsidRPr="00392E0D">
        <w:rPr>
          <w:rFonts w:cs="Arial"/>
          <w:color w:val="000000" w:themeColor="text1"/>
        </w:rPr>
        <w:t>).</w:t>
      </w:r>
    </w:p>
    <w:p w14:paraId="165D8833" w14:textId="68D7E2A4" w:rsidR="007E2E35" w:rsidRPr="00392E0D" w:rsidRDefault="004C1F6C" w:rsidP="004C1F6C">
      <w:pPr>
        <w:pStyle w:val="Body"/>
        <w:rPr>
          <w:rFonts w:cs="Arial"/>
        </w:rPr>
      </w:pPr>
      <w:r w:rsidRPr="00392E0D">
        <w:rPr>
          <w:rFonts w:cs="Arial"/>
        </w:rPr>
        <w:t xml:space="preserve">This report uses the most recent versions of ABS geography and analytical constructs, such as 2016 </w:t>
      </w:r>
      <w:proofErr w:type="spellStart"/>
      <w:r w:rsidRPr="00392E0D">
        <w:rPr>
          <w:rFonts w:cs="Arial"/>
        </w:rPr>
        <w:t>SEIFA</w:t>
      </w:r>
      <w:proofErr w:type="spellEnd"/>
      <w:r w:rsidRPr="00392E0D">
        <w:rPr>
          <w:rFonts w:cs="Arial"/>
        </w:rPr>
        <w:t xml:space="preserve"> and 2021 Australian Statistical Geographical Standard (</w:t>
      </w:r>
      <w:proofErr w:type="spellStart"/>
      <w:r w:rsidRPr="00392E0D">
        <w:rPr>
          <w:rFonts w:cs="Arial"/>
        </w:rPr>
        <w:t>ASGS</w:t>
      </w:r>
      <w:proofErr w:type="spellEnd"/>
      <w:r w:rsidRPr="00392E0D">
        <w:rPr>
          <w:rFonts w:cs="Arial"/>
        </w:rPr>
        <w:t>) Remoteness Areas. These variables have been applied</w:t>
      </w:r>
      <w:r w:rsidR="001424FD">
        <w:rPr>
          <w:rFonts w:cs="Arial"/>
        </w:rPr>
        <w:t xml:space="preserve"> </w:t>
      </w:r>
      <w:r w:rsidRPr="00392E0D">
        <w:rPr>
          <w:rFonts w:cs="Arial"/>
        </w:rPr>
        <w:t>to all cycles of the AEDC data to assist in comparability. As such, the results published in this report may not be identical to previous National Reports for these items.</w:t>
      </w:r>
    </w:p>
    <w:p w14:paraId="428994AA" w14:textId="77777777" w:rsidR="007E2E35" w:rsidRPr="00392E0D" w:rsidRDefault="007E2E35">
      <w:pPr>
        <w:widowControl/>
        <w:autoSpaceDE/>
        <w:autoSpaceDN/>
        <w:rPr>
          <w:rFonts w:ascii="Arial" w:eastAsia="Times New Roman" w:hAnsi="Arial" w:cs="Arial"/>
          <w:sz w:val="21"/>
          <w:szCs w:val="20"/>
        </w:rPr>
      </w:pPr>
      <w:r w:rsidRPr="00392E0D">
        <w:rPr>
          <w:rFonts w:ascii="Arial" w:hAnsi="Arial" w:cs="Arial"/>
        </w:rPr>
        <w:br w:type="page"/>
      </w:r>
    </w:p>
    <w:p w14:paraId="601799DA" w14:textId="02EB7F79" w:rsidR="00DC4363" w:rsidRPr="00392E0D" w:rsidRDefault="007E2E35" w:rsidP="001E1A5B">
      <w:pPr>
        <w:pStyle w:val="Heading1"/>
        <w:rPr>
          <w:rFonts w:cs="Arial"/>
        </w:rPr>
      </w:pPr>
      <w:bookmarkStart w:id="15" w:name="_Toc99530578"/>
      <w:r w:rsidRPr="00392E0D">
        <w:rPr>
          <w:rFonts w:cs="Arial"/>
        </w:rPr>
        <w:lastRenderedPageBreak/>
        <w:t>Appendix 2</w:t>
      </w:r>
      <w:r w:rsidRPr="00392E0D">
        <w:rPr>
          <w:rFonts w:cs="Arial"/>
        </w:rPr>
        <w:tab/>
        <w:t>State and Territory trends</w:t>
      </w:r>
      <w:bookmarkEnd w:id="15"/>
    </w:p>
    <w:p w14:paraId="1F8604E0" w14:textId="7632B738" w:rsidR="007E2E35" w:rsidRPr="00392E0D" w:rsidRDefault="007E2E35" w:rsidP="007E2E35">
      <w:pPr>
        <w:pStyle w:val="Heading2"/>
        <w:rPr>
          <w:rFonts w:cs="Arial"/>
        </w:rPr>
      </w:pPr>
      <w:r w:rsidRPr="00392E0D">
        <w:rPr>
          <w:rFonts w:cs="Arial"/>
        </w:rPr>
        <w:t>New South Wales trends</w:t>
      </w:r>
    </w:p>
    <w:p w14:paraId="4088F5EE" w14:textId="6E720C3E" w:rsidR="006E111A" w:rsidRPr="00392E0D" w:rsidRDefault="006E111A" w:rsidP="006E111A">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48</w:t>
      </w:r>
      <w:r w:rsidRPr="00392E0D">
        <w:rPr>
          <w:rFonts w:cs="Arial"/>
        </w:rPr>
        <w:fldChar w:fldCharType="end"/>
      </w:r>
      <w:r w:rsidRPr="00392E0D">
        <w:rPr>
          <w:rFonts w:cs="Arial"/>
        </w:rPr>
        <w:tab/>
      </w:r>
      <w:r w:rsidRPr="00392E0D">
        <w:rPr>
          <w:rFonts w:eastAsiaTheme="minorHAnsi" w:cs="Arial"/>
          <w:lang w:val="en-AU"/>
        </w:rPr>
        <w:t>New South Wales trends (2009 – 2021) – Developmentally vulnerable on one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6E111A" w:rsidRPr="00392E0D" w14:paraId="4CB03400" w14:textId="77777777" w:rsidTr="008872DA">
        <w:trPr>
          <w:trHeight w:val="287"/>
          <w:tblHeader/>
        </w:trPr>
        <w:tc>
          <w:tcPr>
            <w:tcW w:w="974" w:type="dxa"/>
            <w:tcBorders>
              <w:top w:val="single" w:sz="6" w:space="0" w:color="auto"/>
              <w:left w:val="single" w:sz="6" w:space="0" w:color="auto"/>
              <w:bottom w:val="single" w:sz="6" w:space="0" w:color="auto"/>
              <w:right w:val="single" w:sz="6" w:space="0" w:color="auto"/>
            </w:tcBorders>
          </w:tcPr>
          <w:p w14:paraId="30F01C30" w14:textId="77777777" w:rsidR="006E111A" w:rsidRPr="00392E0D" w:rsidRDefault="006E111A" w:rsidP="00EA5C26">
            <w:pPr>
              <w:widowControl/>
              <w:adjustRightInd w:val="0"/>
              <w:spacing w:before="60" w:after="60"/>
              <w:jc w:val="center"/>
              <w:rPr>
                <w:rFonts w:ascii="Arial" w:eastAsiaTheme="minorHAnsi" w:hAnsi="Arial" w:cs="Arial"/>
                <w:color w:val="000000"/>
                <w:sz w:val="20"/>
                <w:szCs w:val="17"/>
                <w:lang w:val="en-AU"/>
              </w:rPr>
            </w:pPr>
          </w:p>
        </w:tc>
        <w:tc>
          <w:tcPr>
            <w:tcW w:w="975" w:type="dxa"/>
            <w:tcBorders>
              <w:top w:val="single" w:sz="6" w:space="0" w:color="auto"/>
              <w:left w:val="single" w:sz="6" w:space="0" w:color="auto"/>
              <w:bottom w:val="single" w:sz="6" w:space="0" w:color="auto"/>
              <w:right w:val="single" w:sz="6" w:space="0" w:color="auto"/>
            </w:tcBorders>
          </w:tcPr>
          <w:p w14:paraId="0676224D" w14:textId="62CCBA10"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(n)</w:t>
            </w:r>
          </w:p>
        </w:tc>
        <w:tc>
          <w:tcPr>
            <w:tcW w:w="974" w:type="dxa"/>
            <w:tcBorders>
              <w:top w:val="single" w:sz="6" w:space="0" w:color="auto"/>
              <w:left w:val="single" w:sz="6" w:space="0" w:color="auto"/>
              <w:bottom w:val="single" w:sz="6" w:space="0" w:color="auto"/>
              <w:right w:val="single" w:sz="6" w:space="0" w:color="auto"/>
            </w:tcBorders>
          </w:tcPr>
          <w:p w14:paraId="7D0E94AC" w14:textId="0613FB66" w:rsidR="006E111A" w:rsidRPr="00392E0D" w:rsidRDefault="00513B7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w:t>
            </w:r>
          </w:p>
        </w:tc>
        <w:tc>
          <w:tcPr>
            <w:tcW w:w="975" w:type="dxa"/>
            <w:tcBorders>
              <w:top w:val="single" w:sz="6" w:space="0" w:color="auto"/>
              <w:left w:val="single" w:sz="6" w:space="0" w:color="auto"/>
              <w:bottom w:val="single" w:sz="6" w:space="0" w:color="auto"/>
              <w:right w:val="single" w:sz="6" w:space="0" w:color="auto"/>
            </w:tcBorders>
          </w:tcPr>
          <w:p w14:paraId="336A8D3C" w14:textId="00268541"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Total (n)</w:t>
            </w:r>
          </w:p>
        </w:tc>
      </w:tr>
      <w:tr w:rsidR="006E111A" w:rsidRPr="00392E0D" w14:paraId="593B036D"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1EC7D0F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c>
          <w:tcPr>
            <w:tcW w:w="975" w:type="dxa"/>
            <w:tcBorders>
              <w:top w:val="single" w:sz="6" w:space="0" w:color="auto"/>
              <w:left w:val="single" w:sz="6" w:space="0" w:color="auto"/>
              <w:bottom w:val="single" w:sz="6" w:space="0" w:color="auto"/>
              <w:right w:val="single" w:sz="6" w:space="0" w:color="auto"/>
            </w:tcBorders>
          </w:tcPr>
          <w:p w14:paraId="72A921C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19,067</w:t>
            </w:r>
          </w:p>
        </w:tc>
        <w:tc>
          <w:tcPr>
            <w:tcW w:w="974" w:type="dxa"/>
            <w:tcBorders>
              <w:top w:val="single" w:sz="6" w:space="0" w:color="auto"/>
              <w:left w:val="single" w:sz="6" w:space="0" w:color="auto"/>
              <w:bottom w:val="single" w:sz="6" w:space="0" w:color="auto"/>
              <w:right w:val="single" w:sz="6" w:space="0" w:color="auto"/>
            </w:tcBorders>
          </w:tcPr>
          <w:p w14:paraId="5D8174A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21.2</w:t>
            </w:r>
          </w:p>
        </w:tc>
        <w:tc>
          <w:tcPr>
            <w:tcW w:w="975" w:type="dxa"/>
            <w:tcBorders>
              <w:top w:val="single" w:sz="6" w:space="0" w:color="auto"/>
              <w:left w:val="single" w:sz="6" w:space="0" w:color="auto"/>
              <w:bottom w:val="single" w:sz="6" w:space="0" w:color="auto"/>
              <w:right w:val="single" w:sz="6" w:space="0" w:color="auto"/>
            </w:tcBorders>
          </w:tcPr>
          <w:p w14:paraId="4A6629A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90,137</w:t>
            </w:r>
          </w:p>
        </w:tc>
      </w:tr>
      <w:tr w:rsidR="006E111A" w:rsidRPr="00392E0D" w14:paraId="3B55FB96"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47FF550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5" w:type="dxa"/>
            <w:tcBorders>
              <w:top w:val="single" w:sz="6" w:space="0" w:color="auto"/>
              <w:left w:val="single" w:sz="6" w:space="0" w:color="auto"/>
              <w:bottom w:val="single" w:sz="6" w:space="0" w:color="auto"/>
              <w:right w:val="single" w:sz="6" w:space="0" w:color="auto"/>
            </w:tcBorders>
          </w:tcPr>
          <w:p w14:paraId="296E8F2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18,583</w:t>
            </w:r>
          </w:p>
        </w:tc>
        <w:tc>
          <w:tcPr>
            <w:tcW w:w="974" w:type="dxa"/>
            <w:tcBorders>
              <w:top w:val="single" w:sz="6" w:space="0" w:color="auto"/>
              <w:left w:val="single" w:sz="6" w:space="0" w:color="auto"/>
              <w:bottom w:val="single" w:sz="6" w:space="0" w:color="auto"/>
              <w:right w:val="single" w:sz="6" w:space="0" w:color="auto"/>
            </w:tcBorders>
          </w:tcPr>
          <w:p w14:paraId="1176337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19.9</w:t>
            </w:r>
          </w:p>
        </w:tc>
        <w:tc>
          <w:tcPr>
            <w:tcW w:w="975" w:type="dxa"/>
            <w:tcBorders>
              <w:top w:val="single" w:sz="6" w:space="0" w:color="auto"/>
              <w:left w:val="single" w:sz="6" w:space="0" w:color="auto"/>
              <w:bottom w:val="single" w:sz="6" w:space="0" w:color="auto"/>
              <w:right w:val="single" w:sz="6" w:space="0" w:color="auto"/>
            </w:tcBorders>
          </w:tcPr>
          <w:p w14:paraId="7EA2335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93,245</w:t>
            </w:r>
          </w:p>
        </w:tc>
      </w:tr>
      <w:tr w:rsidR="006E111A" w:rsidRPr="00392E0D" w14:paraId="69552AF2"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6CA17C9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0A35713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18,378</w:t>
            </w:r>
          </w:p>
        </w:tc>
        <w:tc>
          <w:tcPr>
            <w:tcW w:w="974" w:type="dxa"/>
            <w:tcBorders>
              <w:top w:val="single" w:sz="6" w:space="0" w:color="auto"/>
              <w:left w:val="single" w:sz="6" w:space="0" w:color="auto"/>
              <w:bottom w:val="single" w:sz="6" w:space="0" w:color="auto"/>
              <w:right w:val="single" w:sz="6" w:space="0" w:color="auto"/>
            </w:tcBorders>
          </w:tcPr>
          <w:p w14:paraId="3F44317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w:t>
            </w:r>
          </w:p>
        </w:tc>
        <w:tc>
          <w:tcPr>
            <w:tcW w:w="975" w:type="dxa"/>
            <w:tcBorders>
              <w:top w:val="single" w:sz="6" w:space="0" w:color="auto"/>
              <w:left w:val="single" w:sz="6" w:space="0" w:color="auto"/>
              <w:bottom w:val="single" w:sz="6" w:space="0" w:color="auto"/>
              <w:right w:val="single" w:sz="6" w:space="0" w:color="auto"/>
            </w:tcBorders>
          </w:tcPr>
          <w:p w14:paraId="362A020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90,956</w:t>
            </w:r>
          </w:p>
        </w:tc>
      </w:tr>
      <w:tr w:rsidR="006E111A" w:rsidRPr="00392E0D" w14:paraId="41CF9501"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035D747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5" w:type="dxa"/>
            <w:tcBorders>
              <w:top w:val="single" w:sz="6" w:space="0" w:color="auto"/>
              <w:left w:val="single" w:sz="6" w:space="0" w:color="auto"/>
              <w:bottom w:val="single" w:sz="6" w:space="0" w:color="auto"/>
              <w:right w:val="single" w:sz="6" w:space="0" w:color="auto"/>
            </w:tcBorders>
          </w:tcPr>
          <w:p w14:paraId="33489D1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17,722</w:t>
            </w:r>
          </w:p>
        </w:tc>
        <w:tc>
          <w:tcPr>
            <w:tcW w:w="974" w:type="dxa"/>
            <w:tcBorders>
              <w:top w:val="single" w:sz="6" w:space="0" w:color="auto"/>
              <w:left w:val="single" w:sz="6" w:space="0" w:color="auto"/>
              <w:bottom w:val="single" w:sz="6" w:space="0" w:color="auto"/>
              <w:right w:val="single" w:sz="6" w:space="0" w:color="auto"/>
            </w:tcBorders>
          </w:tcPr>
          <w:p w14:paraId="03BF623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19.9</w:t>
            </w:r>
          </w:p>
        </w:tc>
        <w:tc>
          <w:tcPr>
            <w:tcW w:w="975" w:type="dxa"/>
            <w:tcBorders>
              <w:top w:val="single" w:sz="6" w:space="0" w:color="auto"/>
              <w:left w:val="single" w:sz="6" w:space="0" w:color="auto"/>
              <w:bottom w:val="single" w:sz="6" w:space="0" w:color="auto"/>
              <w:right w:val="single" w:sz="6" w:space="0" w:color="auto"/>
            </w:tcBorders>
          </w:tcPr>
          <w:p w14:paraId="60285A5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88,921</w:t>
            </w:r>
          </w:p>
        </w:tc>
      </w:tr>
      <w:tr w:rsidR="006E111A" w:rsidRPr="00392E0D" w14:paraId="3F8757BD"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5394212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74C7B9B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17,652</w:t>
            </w:r>
          </w:p>
        </w:tc>
        <w:tc>
          <w:tcPr>
            <w:tcW w:w="974" w:type="dxa"/>
            <w:tcBorders>
              <w:top w:val="single" w:sz="6" w:space="0" w:color="auto"/>
              <w:left w:val="single" w:sz="6" w:space="0" w:color="auto"/>
              <w:bottom w:val="single" w:sz="6" w:space="0" w:color="auto"/>
              <w:right w:val="single" w:sz="6" w:space="0" w:color="auto"/>
            </w:tcBorders>
          </w:tcPr>
          <w:p w14:paraId="2D2B98D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21.3</w:t>
            </w:r>
          </w:p>
        </w:tc>
        <w:tc>
          <w:tcPr>
            <w:tcW w:w="975" w:type="dxa"/>
            <w:tcBorders>
              <w:top w:val="single" w:sz="6" w:space="0" w:color="auto"/>
              <w:left w:val="single" w:sz="6" w:space="0" w:color="auto"/>
              <w:bottom w:val="single" w:sz="6" w:space="0" w:color="auto"/>
              <w:right w:val="single" w:sz="6" w:space="0" w:color="auto"/>
            </w:tcBorders>
          </w:tcPr>
          <w:p w14:paraId="7C92316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82,710</w:t>
            </w:r>
          </w:p>
        </w:tc>
      </w:tr>
    </w:tbl>
    <w:p w14:paraId="3A7EE08C" w14:textId="685CC8A0" w:rsidR="006E111A" w:rsidRPr="00392E0D" w:rsidRDefault="006E111A" w:rsidP="006E111A">
      <w:pPr>
        <w:pStyle w:val="Caption"/>
        <w:rPr>
          <w:rFonts w:eastAsiaTheme="minorHAnsi" w:cs="Arial"/>
          <w:color w:val="000000"/>
          <w:sz w:val="2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49</w:t>
      </w:r>
      <w:r w:rsidRPr="00392E0D">
        <w:rPr>
          <w:rFonts w:cs="Arial"/>
        </w:rPr>
        <w:fldChar w:fldCharType="end"/>
      </w:r>
      <w:r w:rsidRPr="00392E0D">
        <w:rPr>
          <w:rFonts w:cs="Arial"/>
        </w:rPr>
        <w:tab/>
      </w:r>
      <w:r w:rsidRPr="00392E0D">
        <w:rPr>
          <w:rFonts w:eastAsiaTheme="minorHAnsi" w:cs="Arial"/>
          <w:lang w:val="en-AU"/>
        </w:rPr>
        <w:t>New South Wales trends (2009 – 2021) – Developmentally vulnerable on two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6E111A" w:rsidRPr="00392E0D" w14:paraId="1DE48B0F" w14:textId="77777777" w:rsidTr="008872DA">
        <w:trPr>
          <w:trHeight w:val="287"/>
          <w:tblHeader/>
        </w:trPr>
        <w:tc>
          <w:tcPr>
            <w:tcW w:w="974" w:type="dxa"/>
            <w:tcBorders>
              <w:top w:val="single" w:sz="6" w:space="0" w:color="auto"/>
              <w:left w:val="single" w:sz="6" w:space="0" w:color="auto"/>
              <w:bottom w:val="single" w:sz="6" w:space="0" w:color="auto"/>
              <w:right w:val="single" w:sz="6" w:space="0" w:color="auto"/>
            </w:tcBorders>
          </w:tcPr>
          <w:p w14:paraId="33227051" w14:textId="77777777" w:rsidR="006E111A" w:rsidRPr="00392E0D" w:rsidRDefault="006E111A" w:rsidP="00EA5C26">
            <w:pPr>
              <w:widowControl/>
              <w:adjustRightInd w:val="0"/>
              <w:spacing w:before="60" w:after="60"/>
              <w:jc w:val="center"/>
              <w:rPr>
                <w:rFonts w:ascii="Arial" w:eastAsiaTheme="minorHAnsi" w:hAnsi="Arial" w:cs="Arial"/>
                <w:color w:val="000000"/>
                <w:sz w:val="20"/>
                <w:lang w:val="en-AU"/>
              </w:rPr>
            </w:pPr>
          </w:p>
        </w:tc>
        <w:tc>
          <w:tcPr>
            <w:tcW w:w="975" w:type="dxa"/>
            <w:tcBorders>
              <w:top w:val="single" w:sz="6" w:space="0" w:color="auto"/>
              <w:left w:val="single" w:sz="6" w:space="0" w:color="auto"/>
              <w:bottom w:val="single" w:sz="6" w:space="0" w:color="auto"/>
              <w:right w:val="single" w:sz="6" w:space="0" w:color="auto"/>
            </w:tcBorders>
          </w:tcPr>
          <w:p w14:paraId="4B3BA087" w14:textId="7F62EC79"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(n)</w:t>
            </w:r>
          </w:p>
        </w:tc>
        <w:tc>
          <w:tcPr>
            <w:tcW w:w="974" w:type="dxa"/>
            <w:tcBorders>
              <w:top w:val="single" w:sz="6" w:space="0" w:color="auto"/>
              <w:left w:val="single" w:sz="6" w:space="0" w:color="auto"/>
              <w:bottom w:val="single" w:sz="6" w:space="0" w:color="auto"/>
              <w:right w:val="single" w:sz="6" w:space="0" w:color="auto"/>
            </w:tcBorders>
          </w:tcPr>
          <w:p w14:paraId="498A315C" w14:textId="65FADA5A" w:rsidR="006E111A" w:rsidRPr="00392E0D" w:rsidRDefault="00513B7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w:t>
            </w:r>
          </w:p>
        </w:tc>
        <w:tc>
          <w:tcPr>
            <w:tcW w:w="975" w:type="dxa"/>
            <w:tcBorders>
              <w:top w:val="single" w:sz="6" w:space="0" w:color="auto"/>
              <w:left w:val="single" w:sz="6" w:space="0" w:color="auto"/>
              <w:bottom w:val="single" w:sz="6" w:space="0" w:color="auto"/>
              <w:right w:val="single" w:sz="6" w:space="0" w:color="auto"/>
            </w:tcBorders>
          </w:tcPr>
          <w:p w14:paraId="559479DA" w14:textId="0D1CC42F"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Total (n)</w:t>
            </w:r>
          </w:p>
        </w:tc>
      </w:tr>
      <w:tr w:rsidR="006E111A" w:rsidRPr="00392E0D" w14:paraId="0F83C565"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63B782B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c>
          <w:tcPr>
            <w:tcW w:w="975" w:type="dxa"/>
            <w:tcBorders>
              <w:top w:val="single" w:sz="6" w:space="0" w:color="auto"/>
              <w:left w:val="single" w:sz="6" w:space="0" w:color="auto"/>
              <w:bottom w:val="single" w:sz="6" w:space="0" w:color="auto"/>
              <w:right w:val="single" w:sz="6" w:space="0" w:color="auto"/>
            </w:tcBorders>
          </w:tcPr>
          <w:p w14:paraId="121E45C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9,510</w:t>
            </w:r>
          </w:p>
        </w:tc>
        <w:tc>
          <w:tcPr>
            <w:tcW w:w="974" w:type="dxa"/>
            <w:tcBorders>
              <w:top w:val="single" w:sz="6" w:space="0" w:color="auto"/>
              <w:left w:val="single" w:sz="6" w:space="0" w:color="auto"/>
              <w:bottom w:val="single" w:sz="6" w:space="0" w:color="auto"/>
              <w:right w:val="single" w:sz="6" w:space="0" w:color="auto"/>
            </w:tcBorders>
          </w:tcPr>
          <w:p w14:paraId="2E68A077" w14:textId="77777777" w:rsidR="006E111A" w:rsidRPr="00392E0D" w:rsidRDefault="006E111A" w:rsidP="00EA5C26">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10.5</w:t>
            </w:r>
          </w:p>
        </w:tc>
        <w:tc>
          <w:tcPr>
            <w:tcW w:w="975" w:type="dxa"/>
            <w:tcBorders>
              <w:top w:val="single" w:sz="6" w:space="0" w:color="auto"/>
              <w:left w:val="single" w:sz="6" w:space="0" w:color="auto"/>
              <w:bottom w:val="single" w:sz="6" w:space="0" w:color="auto"/>
              <w:right w:val="single" w:sz="6" w:space="0" w:color="auto"/>
            </w:tcBorders>
          </w:tcPr>
          <w:p w14:paraId="7EE0CAA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90,331</w:t>
            </w:r>
          </w:p>
        </w:tc>
      </w:tr>
      <w:tr w:rsidR="006E111A" w:rsidRPr="00392E0D" w14:paraId="6FB3E0A1"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4D386F4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5" w:type="dxa"/>
            <w:tcBorders>
              <w:top w:val="single" w:sz="6" w:space="0" w:color="auto"/>
              <w:left w:val="single" w:sz="6" w:space="0" w:color="auto"/>
              <w:bottom w:val="single" w:sz="6" w:space="0" w:color="auto"/>
              <w:right w:val="single" w:sz="6" w:space="0" w:color="auto"/>
            </w:tcBorders>
          </w:tcPr>
          <w:p w14:paraId="0911205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9,001</w:t>
            </w:r>
          </w:p>
        </w:tc>
        <w:tc>
          <w:tcPr>
            <w:tcW w:w="974" w:type="dxa"/>
            <w:tcBorders>
              <w:top w:val="single" w:sz="6" w:space="0" w:color="auto"/>
              <w:left w:val="single" w:sz="6" w:space="0" w:color="auto"/>
              <w:bottom w:val="single" w:sz="6" w:space="0" w:color="auto"/>
              <w:right w:val="single" w:sz="6" w:space="0" w:color="auto"/>
            </w:tcBorders>
          </w:tcPr>
          <w:p w14:paraId="7111F8D3" w14:textId="77777777" w:rsidR="006E111A" w:rsidRPr="00392E0D" w:rsidRDefault="006E111A" w:rsidP="00EA5C26">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9.6</w:t>
            </w:r>
          </w:p>
        </w:tc>
        <w:tc>
          <w:tcPr>
            <w:tcW w:w="975" w:type="dxa"/>
            <w:tcBorders>
              <w:top w:val="single" w:sz="6" w:space="0" w:color="auto"/>
              <w:left w:val="single" w:sz="6" w:space="0" w:color="auto"/>
              <w:bottom w:val="single" w:sz="6" w:space="0" w:color="auto"/>
              <w:right w:val="single" w:sz="6" w:space="0" w:color="auto"/>
            </w:tcBorders>
          </w:tcPr>
          <w:p w14:paraId="5983AD5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93,468</w:t>
            </w:r>
          </w:p>
        </w:tc>
      </w:tr>
      <w:tr w:rsidR="006E111A" w:rsidRPr="00392E0D" w14:paraId="5332517B"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62BD800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1AE4F94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8,733</w:t>
            </w:r>
          </w:p>
        </w:tc>
        <w:tc>
          <w:tcPr>
            <w:tcW w:w="974" w:type="dxa"/>
            <w:tcBorders>
              <w:top w:val="single" w:sz="6" w:space="0" w:color="auto"/>
              <w:left w:val="single" w:sz="6" w:space="0" w:color="auto"/>
              <w:bottom w:val="single" w:sz="6" w:space="0" w:color="auto"/>
              <w:right w:val="single" w:sz="6" w:space="0" w:color="auto"/>
            </w:tcBorders>
          </w:tcPr>
          <w:p w14:paraId="5D3C4B92" w14:textId="77777777" w:rsidR="006E111A" w:rsidRPr="00392E0D" w:rsidRDefault="006E111A" w:rsidP="00EA5C26">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9.6</w:t>
            </w:r>
          </w:p>
        </w:tc>
        <w:tc>
          <w:tcPr>
            <w:tcW w:w="975" w:type="dxa"/>
            <w:tcBorders>
              <w:top w:val="single" w:sz="6" w:space="0" w:color="auto"/>
              <w:left w:val="single" w:sz="6" w:space="0" w:color="auto"/>
              <w:bottom w:val="single" w:sz="6" w:space="0" w:color="auto"/>
              <w:right w:val="single" w:sz="6" w:space="0" w:color="auto"/>
            </w:tcBorders>
          </w:tcPr>
          <w:p w14:paraId="6D2C090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91,143</w:t>
            </w:r>
          </w:p>
        </w:tc>
      </w:tr>
      <w:tr w:rsidR="006E111A" w:rsidRPr="00392E0D" w14:paraId="417D07A4"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4C6CBE5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5" w:type="dxa"/>
            <w:tcBorders>
              <w:top w:val="single" w:sz="6" w:space="0" w:color="auto"/>
              <w:left w:val="single" w:sz="6" w:space="0" w:color="auto"/>
              <w:bottom w:val="single" w:sz="6" w:space="0" w:color="auto"/>
              <w:right w:val="single" w:sz="6" w:space="0" w:color="auto"/>
            </w:tcBorders>
          </w:tcPr>
          <w:p w14:paraId="02CFD81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8,189</w:t>
            </w:r>
          </w:p>
        </w:tc>
        <w:tc>
          <w:tcPr>
            <w:tcW w:w="974" w:type="dxa"/>
            <w:tcBorders>
              <w:top w:val="single" w:sz="6" w:space="0" w:color="auto"/>
              <w:left w:val="single" w:sz="6" w:space="0" w:color="auto"/>
              <w:bottom w:val="single" w:sz="6" w:space="0" w:color="auto"/>
              <w:right w:val="single" w:sz="6" w:space="0" w:color="auto"/>
            </w:tcBorders>
          </w:tcPr>
          <w:p w14:paraId="7AA1D02E" w14:textId="77777777" w:rsidR="006E111A" w:rsidRPr="00392E0D" w:rsidRDefault="006E111A" w:rsidP="00EA5C26">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9.2</w:t>
            </w:r>
          </w:p>
        </w:tc>
        <w:tc>
          <w:tcPr>
            <w:tcW w:w="975" w:type="dxa"/>
            <w:tcBorders>
              <w:top w:val="single" w:sz="6" w:space="0" w:color="auto"/>
              <w:left w:val="single" w:sz="6" w:space="0" w:color="auto"/>
              <w:bottom w:val="single" w:sz="6" w:space="0" w:color="auto"/>
              <w:right w:val="single" w:sz="6" w:space="0" w:color="auto"/>
            </w:tcBorders>
          </w:tcPr>
          <w:p w14:paraId="2CBC6F2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89,260</w:t>
            </w:r>
          </w:p>
        </w:tc>
      </w:tr>
      <w:tr w:rsidR="006E111A" w:rsidRPr="00392E0D" w14:paraId="1F440D1B" w14:textId="77777777" w:rsidTr="006E111A">
        <w:trPr>
          <w:trHeight w:val="296"/>
        </w:trPr>
        <w:tc>
          <w:tcPr>
            <w:tcW w:w="974" w:type="dxa"/>
            <w:tcBorders>
              <w:top w:val="single" w:sz="6" w:space="0" w:color="auto"/>
              <w:left w:val="single" w:sz="6" w:space="0" w:color="auto"/>
              <w:bottom w:val="single" w:sz="6" w:space="0" w:color="auto"/>
              <w:right w:val="single" w:sz="6" w:space="0" w:color="auto"/>
            </w:tcBorders>
          </w:tcPr>
          <w:p w14:paraId="749B063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7A49DAB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8,526</w:t>
            </w:r>
          </w:p>
        </w:tc>
        <w:tc>
          <w:tcPr>
            <w:tcW w:w="974" w:type="dxa"/>
            <w:tcBorders>
              <w:top w:val="single" w:sz="6" w:space="0" w:color="auto"/>
              <w:left w:val="single" w:sz="6" w:space="0" w:color="auto"/>
              <w:bottom w:val="single" w:sz="6" w:space="0" w:color="auto"/>
              <w:right w:val="single" w:sz="6" w:space="0" w:color="auto"/>
            </w:tcBorders>
          </w:tcPr>
          <w:p w14:paraId="7E59B3EA" w14:textId="77777777" w:rsidR="006E111A" w:rsidRPr="00392E0D" w:rsidRDefault="006E111A" w:rsidP="00EA5C26">
            <w:pPr>
              <w:widowControl/>
              <w:adjustRightInd w:val="0"/>
              <w:spacing w:before="60" w:after="60"/>
              <w:ind w:right="170"/>
              <w:jc w:val="right"/>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10.3</w:t>
            </w:r>
          </w:p>
        </w:tc>
        <w:tc>
          <w:tcPr>
            <w:tcW w:w="975" w:type="dxa"/>
            <w:tcBorders>
              <w:top w:val="single" w:sz="6" w:space="0" w:color="auto"/>
              <w:left w:val="single" w:sz="6" w:space="0" w:color="auto"/>
              <w:bottom w:val="single" w:sz="6" w:space="0" w:color="auto"/>
              <w:right w:val="single" w:sz="6" w:space="0" w:color="auto"/>
            </w:tcBorders>
          </w:tcPr>
          <w:p w14:paraId="525812D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82,866</w:t>
            </w:r>
          </w:p>
        </w:tc>
      </w:tr>
    </w:tbl>
    <w:p w14:paraId="1E3653F7" w14:textId="3FFA9B6D" w:rsidR="006E111A" w:rsidRPr="00392E0D" w:rsidRDefault="006E111A" w:rsidP="006E111A">
      <w:pPr>
        <w:pStyle w:val="Caption"/>
        <w:rPr>
          <w:rFonts w:eastAsiaTheme="minorHAnsi" w:cs="Arial"/>
          <w:color w:val="000000"/>
          <w:sz w:val="2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50</w:t>
      </w:r>
      <w:r w:rsidRPr="00392E0D">
        <w:rPr>
          <w:rFonts w:cs="Arial"/>
        </w:rPr>
        <w:fldChar w:fldCharType="end"/>
      </w:r>
      <w:r w:rsidRPr="00392E0D">
        <w:rPr>
          <w:rFonts w:cs="Arial"/>
        </w:rPr>
        <w:tab/>
      </w:r>
      <w:r w:rsidRPr="00392E0D">
        <w:rPr>
          <w:rFonts w:eastAsiaTheme="minorHAnsi" w:cs="Arial"/>
          <w:lang w:val="en-AU"/>
        </w:rPr>
        <w:t>New South Wales trends (2009 – 2021) – Developmentally on track on five domains</w:t>
      </w:r>
    </w:p>
    <w:tbl>
      <w:tblPr>
        <w:tblW w:w="0" w:type="auto"/>
        <w:tblInd w:w="-38" w:type="dxa"/>
        <w:tblLayout w:type="fixed"/>
        <w:tblLook w:val="0000" w:firstRow="0" w:lastRow="0" w:firstColumn="0" w:lastColumn="0" w:noHBand="0" w:noVBand="0"/>
      </w:tblPr>
      <w:tblGrid>
        <w:gridCol w:w="974"/>
        <w:gridCol w:w="975"/>
        <w:gridCol w:w="974"/>
        <w:gridCol w:w="975"/>
      </w:tblGrid>
      <w:tr w:rsidR="006E111A" w:rsidRPr="00392E0D" w14:paraId="4D7EB037" w14:textId="77777777" w:rsidTr="008872DA">
        <w:trPr>
          <w:trHeight w:val="287"/>
          <w:tblHeader/>
        </w:trPr>
        <w:tc>
          <w:tcPr>
            <w:tcW w:w="974" w:type="dxa"/>
            <w:tcBorders>
              <w:top w:val="single" w:sz="6" w:space="0" w:color="auto"/>
              <w:left w:val="single" w:sz="6" w:space="0" w:color="auto"/>
              <w:bottom w:val="single" w:sz="6" w:space="0" w:color="auto"/>
              <w:right w:val="single" w:sz="6" w:space="0" w:color="auto"/>
            </w:tcBorders>
          </w:tcPr>
          <w:p w14:paraId="6313C58A" w14:textId="77777777" w:rsidR="006E111A" w:rsidRPr="00392E0D" w:rsidRDefault="006E111A" w:rsidP="00EA5C26">
            <w:pPr>
              <w:widowControl/>
              <w:adjustRightInd w:val="0"/>
              <w:spacing w:before="60" w:after="60"/>
              <w:jc w:val="center"/>
              <w:rPr>
                <w:rFonts w:ascii="Arial" w:eastAsiaTheme="minorHAnsi" w:hAnsi="Arial" w:cs="Arial"/>
                <w:color w:val="000000"/>
                <w:sz w:val="20"/>
                <w:lang w:val="en-AU"/>
              </w:rPr>
            </w:pPr>
          </w:p>
        </w:tc>
        <w:tc>
          <w:tcPr>
            <w:tcW w:w="975" w:type="dxa"/>
            <w:tcBorders>
              <w:top w:val="single" w:sz="6" w:space="0" w:color="auto"/>
              <w:left w:val="single" w:sz="6" w:space="0" w:color="auto"/>
              <w:bottom w:val="single" w:sz="6" w:space="0" w:color="auto"/>
              <w:right w:val="single" w:sz="6" w:space="0" w:color="auto"/>
            </w:tcBorders>
          </w:tcPr>
          <w:p w14:paraId="088E189A" w14:textId="353BBDE2"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(n)</w:t>
            </w:r>
          </w:p>
        </w:tc>
        <w:tc>
          <w:tcPr>
            <w:tcW w:w="974" w:type="dxa"/>
            <w:tcBorders>
              <w:top w:val="single" w:sz="6" w:space="0" w:color="auto"/>
              <w:left w:val="single" w:sz="6" w:space="0" w:color="auto"/>
              <w:bottom w:val="single" w:sz="6" w:space="0" w:color="auto"/>
              <w:right w:val="single" w:sz="6" w:space="0" w:color="auto"/>
            </w:tcBorders>
          </w:tcPr>
          <w:p w14:paraId="4E527AC6" w14:textId="4C544847" w:rsidR="006E111A" w:rsidRPr="00392E0D" w:rsidRDefault="00513B7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w:t>
            </w:r>
          </w:p>
        </w:tc>
        <w:tc>
          <w:tcPr>
            <w:tcW w:w="975" w:type="dxa"/>
            <w:tcBorders>
              <w:top w:val="single" w:sz="6" w:space="0" w:color="auto"/>
              <w:left w:val="single" w:sz="6" w:space="0" w:color="auto"/>
              <w:bottom w:val="single" w:sz="6" w:space="0" w:color="auto"/>
              <w:right w:val="single" w:sz="6" w:space="0" w:color="auto"/>
            </w:tcBorders>
          </w:tcPr>
          <w:p w14:paraId="4D3CEBED" w14:textId="24197968"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Total (n)</w:t>
            </w:r>
          </w:p>
        </w:tc>
      </w:tr>
      <w:tr w:rsidR="006E111A" w:rsidRPr="00392E0D" w14:paraId="0FD5EA46"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103B141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c>
          <w:tcPr>
            <w:tcW w:w="975" w:type="dxa"/>
            <w:tcBorders>
              <w:top w:val="single" w:sz="6" w:space="0" w:color="auto"/>
              <w:left w:val="single" w:sz="6" w:space="0" w:color="auto"/>
              <w:bottom w:val="single" w:sz="6" w:space="0" w:color="auto"/>
              <w:right w:val="single" w:sz="6" w:space="0" w:color="auto"/>
            </w:tcBorders>
          </w:tcPr>
          <w:p w14:paraId="457F3FC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50,056</w:t>
            </w:r>
          </w:p>
        </w:tc>
        <w:tc>
          <w:tcPr>
            <w:tcW w:w="974" w:type="dxa"/>
            <w:tcBorders>
              <w:top w:val="single" w:sz="6" w:space="0" w:color="auto"/>
              <w:left w:val="single" w:sz="6" w:space="0" w:color="auto"/>
              <w:bottom w:val="single" w:sz="6" w:space="0" w:color="auto"/>
              <w:right w:val="single" w:sz="6" w:space="0" w:color="auto"/>
            </w:tcBorders>
          </w:tcPr>
          <w:p w14:paraId="3DBD90D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55.5</w:t>
            </w:r>
          </w:p>
        </w:tc>
        <w:tc>
          <w:tcPr>
            <w:tcW w:w="975" w:type="dxa"/>
            <w:tcBorders>
              <w:top w:val="single" w:sz="6" w:space="0" w:color="auto"/>
              <w:left w:val="single" w:sz="6" w:space="0" w:color="auto"/>
              <w:bottom w:val="single" w:sz="6" w:space="0" w:color="auto"/>
              <w:right w:val="single" w:sz="6" w:space="0" w:color="auto"/>
            </w:tcBorders>
          </w:tcPr>
          <w:p w14:paraId="2C69D3F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90,266</w:t>
            </w:r>
          </w:p>
        </w:tc>
      </w:tr>
      <w:tr w:rsidR="006E111A" w:rsidRPr="00392E0D" w14:paraId="3CD4967D"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1C89345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975" w:type="dxa"/>
            <w:tcBorders>
              <w:top w:val="single" w:sz="6" w:space="0" w:color="auto"/>
              <w:left w:val="single" w:sz="6" w:space="0" w:color="auto"/>
              <w:bottom w:val="single" w:sz="6" w:space="0" w:color="auto"/>
              <w:right w:val="single" w:sz="6" w:space="0" w:color="auto"/>
            </w:tcBorders>
          </w:tcPr>
          <w:p w14:paraId="56A95D7F"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53,409</w:t>
            </w:r>
          </w:p>
        </w:tc>
        <w:tc>
          <w:tcPr>
            <w:tcW w:w="974" w:type="dxa"/>
            <w:tcBorders>
              <w:top w:val="single" w:sz="6" w:space="0" w:color="auto"/>
              <w:left w:val="single" w:sz="6" w:space="0" w:color="auto"/>
              <w:bottom w:val="single" w:sz="6" w:space="0" w:color="auto"/>
              <w:right w:val="single" w:sz="6" w:space="0" w:color="auto"/>
            </w:tcBorders>
          </w:tcPr>
          <w:p w14:paraId="3A74A8F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57.2</w:t>
            </w:r>
          </w:p>
        </w:tc>
        <w:tc>
          <w:tcPr>
            <w:tcW w:w="975" w:type="dxa"/>
            <w:tcBorders>
              <w:top w:val="single" w:sz="6" w:space="0" w:color="auto"/>
              <w:left w:val="single" w:sz="6" w:space="0" w:color="auto"/>
              <w:bottom w:val="single" w:sz="6" w:space="0" w:color="auto"/>
              <w:right w:val="single" w:sz="6" w:space="0" w:color="auto"/>
            </w:tcBorders>
          </w:tcPr>
          <w:p w14:paraId="28826DF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93,377</w:t>
            </w:r>
          </w:p>
        </w:tc>
      </w:tr>
      <w:tr w:rsidR="006E111A" w:rsidRPr="00392E0D" w14:paraId="14D3B881"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429E1CF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975" w:type="dxa"/>
            <w:tcBorders>
              <w:top w:val="single" w:sz="6" w:space="0" w:color="auto"/>
              <w:left w:val="single" w:sz="6" w:space="0" w:color="auto"/>
              <w:bottom w:val="single" w:sz="6" w:space="0" w:color="auto"/>
              <w:right w:val="single" w:sz="6" w:space="0" w:color="auto"/>
            </w:tcBorders>
          </w:tcPr>
          <w:p w14:paraId="46CAFF1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50,801</w:t>
            </w:r>
          </w:p>
        </w:tc>
        <w:tc>
          <w:tcPr>
            <w:tcW w:w="974" w:type="dxa"/>
            <w:tcBorders>
              <w:top w:val="single" w:sz="6" w:space="0" w:color="auto"/>
              <w:left w:val="single" w:sz="6" w:space="0" w:color="auto"/>
              <w:bottom w:val="single" w:sz="6" w:space="0" w:color="auto"/>
              <w:right w:val="single" w:sz="6" w:space="0" w:color="auto"/>
            </w:tcBorders>
          </w:tcPr>
          <w:p w14:paraId="74A9AFE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55.8</w:t>
            </w:r>
          </w:p>
        </w:tc>
        <w:tc>
          <w:tcPr>
            <w:tcW w:w="975" w:type="dxa"/>
            <w:tcBorders>
              <w:top w:val="single" w:sz="6" w:space="0" w:color="auto"/>
              <w:left w:val="single" w:sz="6" w:space="0" w:color="auto"/>
              <w:bottom w:val="single" w:sz="6" w:space="0" w:color="auto"/>
              <w:right w:val="single" w:sz="6" w:space="0" w:color="auto"/>
            </w:tcBorders>
          </w:tcPr>
          <w:p w14:paraId="2CCE563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91,115</w:t>
            </w:r>
          </w:p>
        </w:tc>
      </w:tr>
      <w:tr w:rsidR="006E111A" w:rsidRPr="00392E0D" w14:paraId="3DBAFB34"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1959F2D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975" w:type="dxa"/>
            <w:tcBorders>
              <w:top w:val="single" w:sz="6" w:space="0" w:color="auto"/>
              <w:left w:val="single" w:sz="6" w:space="0" w:color="auto"/>
              <w:bottom w:val="single" w:sz="6" w:space="0" w:color="auto"/>
              <w:right w:val="single" w:sz="6" w:space="0" w:color="auto"/>
            </w:tcBorders>
          </w:tcPr>
          <w:p w14:paraId="2AC63B5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50,076</w:t>
            </w:r>
          </w:p>
        </w:tc>
        <w:tc>
          <w:tcPr>
            <w:tcW w:w="974" w:type="dxa"/>
            <w:tcBorders>
              <w:top w:val="single" w:sz="6" w:space="0" w:color="auto"/>
              <w:left w:val="single" w:sz="6" w:space="0" w:color="auto"/>
              <w:bottom w:val="single" w:sz="6" w:space="0" w:color="auto"/>
              <w:right w:val="single" w:sz="6" w:space="0" w:color="auto"/>
            </w:tcBorders>
          </w:tcPr>
          <w:p w14:paraId="11DF172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56.1</w:t>
            </w:r>
          </w:p>
        </w:tc>
        <w:tc>
          <w:tcPr>
            <w:tcW w:w="975" w:type="dxa"/>
            <w:tcBorders>
              <w:top w:val="single" w:sz="6" w:space="0" w:color="auto"/>
              <w:left w:val="single" w:sz="6" w:space="0" w:color="auto"/>
              <w:bottom w:val="single" w:sz="6" w:space="0" w:color="auto"/>
              <w:right w:val="single" w:sz="6" w:space="0" w:color="auto"/>
            </w:tcBorders>
          </w:tcPr>
          <w:p w14:paraId="3688F76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89,199</w:t>
            </w:r>
          </w:p>
        </w:tc>
      </w:tr>
      <w:tr w:rsidR="006E111A" w:rsidRPr="00392E0D" w14:paraId="10650E9C" w14:textId="77777777" w:rsidTr="006E111A">
        <w:trPr>
          <w:trHeight w:val="287"/>
        </w:trPr>
        <w:tc>
          <w:tcPr>
            <w:tcW w:w="974" w:type="dxa"/>
            <w:tcBorders>
              <w:top w:val="single" w:sz="6" w:space="0" w:color="auto"/>
              <w:left w:val="single" w:sz="6" w:space="0" w:color="auto"/>
              <w:bottom w:val="single" w:sz="6" w:space="0" w:color="auto"/>
              <w:right w:val="single" w:sz="6" w:space="0" w:color="auto"/>
            </w:tcBorders>
          </w:tcPr>
          <w:p w14:paraId="4943D09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975" w:type="dxa"/>
            <w:tcBorders>
              <w:top w:val="single" w:sz="6" w:space="0" w:color="auto"/>
              <w:left w:val="single" w:sz="6" w:space="0" w:color="auto"/>
              <w:bottom w:val="single" w:sz="6" w:space="0" w:color="auto"/>
              <w:right w:val="single" w:sz="6" w:space="0" w:color="auto"/>
            </w:tcBorders>
          </w:tcPr>
          <w:p w14:paraId="49A5C40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45,365</w:t>
            </w:r>
          </w:p>
        </w:tc>
        <w:tc>
          <w:tcPr>
            <w:tcW w:w="974" w:type="dxa"/>
            <w:tcBorders>
              <w:top w:val="single" w:sz="6" w:space="0" w:color="auto"/>
              <w:left w:val="single" w:sz="6" w:space="0" w:color="auto"/>
              <w:bottom w:val="single" w:sz="6" w:space="0" w:color="auto"/>
              <w:right w:val="single" w:sz="6" w:space="0" w:color="auto"/>
            </w:tcBorders>
          </w:tcPr>
          <w:p w14:paraId="775E7A4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54.8</w:t>
            </w:r>
          </w:p>
        </w:tc>
        <w:tc>
          <w:tcPr>
            <w:tcW w:w="975" w:type="dxa"/>
            <w:tcBorders>
              <w:top w:val="single" w:sz="6" w:space="0" w:color="auto"/>
              <w:left w:val="single" w:sz="6" w:space="0" w:color="auto"/>
              <w:bottom w:val="single" w:sz="6" w:space="0" w:color="auto"/>
              <w:right w:val="single" w:sz="6" w:space="0" w:color="auto"/>
            </w:tcBorders>
          </w:tcPr>
          <w:p w14:paraId="7E864DB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82,807</w:t>
            </w:r>
          </w:p>
        </w:tc>
      </w:tr>
    </w:tbl>
    <w:p w14:paraId="5E22774E" w14:textId="0F4225FC" w:rsidR="006E111A" w:rsidRPr="00392E0D" w:rsidRDefault="006E111A" w:rsidP="006E111A">
      <w:pPr>
        <w:pStyle w:val="Caption"/>
        <w:rPr>
          <w:rFonts w:eastAsiaTheme="minorHAnsi" w:cs="Arial"/>
          <w:color w:val="000000"/>
          <w:sz w:val="2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51</w:t>
      </w:r>
      <w:r w:rsidRPr="00392E0D">
        <w:rPr>
          <w:rFonts w:cs="Arial"/>
        </w:rPr>
        <w:fldChar w:fldCharType="end"/>
      </w:r>
      <w:r w:rsidRPr="00392E0D">
        <w:rPr>
          <w:rFonts w:cs="Arial"/>
        </w:rPr>
        <w:tab/>
      </w:r>
      <w:r w:rsidRPr="00392E0D">
        <w:rPr>
          <w:rFonts w:eastAsiaTheme="minorHAnsi" w:cs="Arial"/>
          <w:lang w:val="en-AU"/>
        </w:rPr>
        <w:t>New South Wales trends (2009 – 2021) – Physical health and wellbeing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6E111A" w:rsidRPr="00392E0D" w14:paraId="31864580" w14:textId="77777777" w:rsidTr="008872DA">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7895EF05" w14:textId="77777777" w:rsidR="006E111A" w:rsidRPr="00392E0D" w:rsidRDefault="006E111A" w:rsidP="00EA5C26">
            <w:pPr>
              <w:widowControl/>
              <w:adjustRightInd w:val="0"/>
              <w:spacing w:before="60" w:after="60"/>
              <w:jc w:val="center"/>
              <w:rPr>
                <w:rFonts w:ascii="Arial" w:eastAsiaTheme="minorHAnsi" w:hAnsi="Arial" w:cs="Arial"/>
                <w:color w:val="000000"/>
                <w:sz w:val="20"/>
                <w:szCs w:val="17"/>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2AFF7A25" w14:textId="4D466BB6"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25FDA380" w14:textId="77777777" w:rsidR="006E111A" w:rsidRPr="00392E0D" w:rsidRDefault="006E111A"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 on track (%)</w:t>
            </w:r>
          </w:p>
        </w:tc>
        <w:tc>
          <w:tcPr>
            <w:tcW w:w="1344" w:type="dxa"/>
            <w:tcBorders>
              <w:top w:val="single" w:sz="6" w:space="0" w:color="auto"/>
              <w:left w:val="single" w:sz="6" w:space="0" w:color="auto"/>
              <w:bottom w:val="single" w:sz="6" w:space="0" w:color="auto"/>
              <w:right w:val="single" w:sz="6" w:space="0" w:color="auto"/>
            </w:tcBorders>
            <w:vAlign w:val="bottom"/>
          </w:tcPr>
          <w:p w14:paraId="0E7638F9" w14:textId="6D4B7BCB"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68746945" w14:textId="36EC5C11"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4F75A7A" w14:textId="78E87C0D"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3056CF11" w14:textId="39BA28A5"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0D52835D" w14:textId="150995D5"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Total (n)</w:t>
            </w:r>
          </w:p>
        </w:tc>
      </w:tr>
      <w:tr w:rsidR="006E111A" w:rsidRPr="00392E0D" w14:paraId="302B5EB4" w14:textId="77777777" w:rsidTr="00EA5C26">
        <w:trPr>
          <w:trHeight w:val="311"/>
        </w:trPr>
        <w:tc>
          <w:tcPr>
            <w:tcW w:w="974" w:type="dxa"/>
            <w:tcBorders>
              <w:top w:val="single" w:sz="6" w:space="0" w:color="auto"/>
              <w:left w:val="single" w:sz="6" w:space="0" w:color="auto"/>
              <w:bottom w:val="single" w:sz="6" w:space="0" w:color="auto"/>
              <w:right w:val="single" w:sz="6" w:space="0" w:color="auto"/>
            </w:tcBorders>
          </w:tcPr>
          <w:p w14:paraId="07251A9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c>
          <w:tcPr>
            <w:tcW w:w="1343" w:type="dxa"/>
            <w:tcBorders>
              <w:top w:val="single" w:sz="6" w:space="0" w:color="auto"/>
              <w:left w:val="single" w:sz="6" w:space="0" w:color="auto"/>
              <w:bottom w:val="single" w:sz="6" w:space="0" w:color="auto"/>
              <w:right w:val="single" w:sz="6" w:space="0" w:color="auto"/>
            </w:tcBorders>
          </w:tcPr>
          <w:p w14:paraId="357ACE1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70,671</w:t>
            </w:r>
          </w:p>
        </w:tc>
        <w:tc>
          <w:tcPr>
            <w:tcW w:w="1343" w:type="dxa"/>
            <w:tcBorders>
              <w:top w:val="single" w:sz="6" w:space="0" w:color="auto"/>
              <w:left w:val="single" w:sz="6" w:space="0" w:color="auto"/>
              <w:bottom w:val="single" w:sz="6" w:space="0" w:color="auto"/>
              <w:right w:val="single" w:sz="6" w:space="0" w:color="auto"/>
            </w:tcBorders>
          </w:tcPr>
          <w:p w14:paraId="4340B55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78.1</w:t>
            </w:r>
          </w:p>
        </w:tc>
        <w:tc>
          <w:tcPr>
            <w:tcW w:w="1344" w:type="dxa"/>
            <w:tcBorders>
              <w:top w:val="single" w:sz="6" w:space="0" w:color="auto"/>
              <w:left w:val="single" w:sz="6" w:space="0" w:color="auto"/>
              <w:bottom w:val="single" w:sz="6" w:space="0" w:color="auto"/>
              <w:right w:val="single" w:sz="6" w:space="0" w:color="auto"/>
            </w:tcBorders>
          </w:tcPr>
          <w:p w14:paraId="247905C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11,246</w:t>
            </w:r>
          </w:p>
        </w:tc>
        <w:tc>
          <w:tcPr>
            <w:tcW w:w="1343" w:type="dxa"/>
            <w:tcBorders>
              <w:top w:val="single" w:sz="6" w:space="0" w:color="auto"/>
              <w:left w:val="single" w:sz="6" w:space="0" w:color="auto"/>
              <w:bottom w:val="single" w:sz="6" w:space="0" w:color="auto"/>
              <w:right w:val="single" w:sz="6" w:space="0" w:color="auto"/>
            </w:tcBorders>
          </w:tcPr>
          <w:p w14:paraId="51DE4CFF"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12.4</w:t>
            </w:r>
          </w:p>
        </w:tc>
        <w:tc>
          <w:tcPr>
            <w:tcW w:w="1344" w:type="dxa"/>
            <w:tcBorders>
              <w:top w:val="single" w:sz="6" w:space="0" w:color="auto"/>
              <w:left w:val="single" w:sz="6" w:space="0" w:color="auto"/>
              <w:bottom w:val="single" w:sz="6" w:space="0" w:color="auto"/>
              <w:right w:val="single" w:sz="6" w:space="0" w:color="auto"/>
            </w:tcBorders>
          </w:tcPr>
          <w:p w14:paraId="583CBFF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8,513</w:t>
            </w:r>
          </w:p>
        </w:tc>
        <w:tc>
          <w:tcPr>
            <w:tcW w:w="1343" w:type="dxa"/>
            <w:tcBorders>
              <w:top w:val="single" w:sz="6" w:space="0" w:color="auto"/>
              <w:left w:val="single" w:sz="6" w:space="0" w:color="auto"/>
              <w:bottom w:val="single" w:sz="6" w:space="0" w:color="auto"/>
              <w:right w:val="single" w:sz="6" w:space="0" w:color="auto"/>
            </w:tcBorders>
          </w:tcPr>
          <w:p w14:paraId="2D9CF45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9.4</w:t>
            </w:r>
          </w:p>
        </w:tc>
        <w:tc>
          <w:tcPr>
            <w:tcW w:w="1344" w:type="dxa"/>
            <w:tcBorders>
              <w:top w:val="single" w:sz="6" w:space="0" w:color="auto"/>
              <w:left w:val="single" w:sz="6" w:space="0" w:color="auto"/>
              <w:bottom w:val="single" w:sz="6" w:space="0" w:color="auto"/>
              <w:right w:val="single" w:sz="6" w:space="0" w:color="auto"/>
            </w:tcBorders>
          </w:tcPr>
          <w:p w14:paraId="7957963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90,430</w:t>
            </w:r>
          </w:p>
        </w:tc>
      </w:tr>
      <w:tr w:rsidR="006E111A" w:rsidRPr="00392E0D" w14:paraId="144492CB"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0ADCF03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1343" w:type="dxa"/>
            <w:tcBorders>
              <w:top w:val="single" w:sz="6" w:space="0" w:color="auto"/>
              <w:left w:val="single" w:sz="6" w:space="0" w:color="auto"/>
              <w:bottom w:val="single" w:sz="6" w:space="0" w:color="auto"/>
              <w:right w:val="single" w:sz="6" w:space="0" w:color="auto"/>
            </w:tcBorders>
          </w:tcPr>
          <w:p w14:paraId="58F92DA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73,462</w:t>
            </w:r>
          </w:p>
        </w:tc>
        <w:tc>
          <w:tcPr>
            <w:tcW w:w="1343" w:type="dxa"/>
            <w:tcBorders>
              <w:top w:val="single" w:sz="6" w:space="0" w:color="auto"/>
              <w:left w:val="single" w:sz="6" w:space="0" w:color="auto"/>
              <w:bottom w:val="single" w:sz="6" w:space="0" w:color="auto"/>
              <w:right w:val="single" w:sz="6" w:space="0" w:color="auto"/>
            </w:tcBorders>
          </w:tcPr>
          <w:p w14:paraId="6A58285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78.5</w:t>
            </w:r>
          </w:p>
        </w:tc>
        <w:tc>
          <w:tcPr>
            <w:tcW w:w="1344" w:type="dxa"/>
            <w:tcBorders>
              <w:top w:val="single" w:sz="6" w:space="0" w:color="auto"/>
              <w:left w:val="single" w:sz="6" w:space="0" w:color="auto"/>
              <w:bottom w:val="single" w:sz="6" w:space="0" w:color="auto"/>
              <w:right w:val="single" w:sz="6" w:space="0" w:color="auto"/>
            </w:tcBorders>
          </w:tcPr>
          <w:p w14:paraId="530F996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12,111</w:t>
            </w:r>
          </w:p>
        </w:tc>
        <w:tc>
          <w:tcPr>
            <w:tcW w:w="1343" w:type="dxa"/>
            <w:tcBorders>
              <w:top w:val="single" w:sz="6" w:space="0" w:color="auto"/>
              <w:left w:val="single" w:sz="6" w:space="0" w:color="auto"/>
              <w:bottom w:val="single" w:sz="6" w:space="0" w:color="auto"/>
              <w:right w:val="single" w:sz="6" w:space="0" w:color="auto"/>
            </w:tcBorders>
          </w:tcPr>
          <w:p w14:paraId="187D909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12.9</w:t>
            </w:r>
          </w:p>
        </w:tc>
        <w:tc>
          <w:tcPr>
            <w:tcW w:w="1344" w:type="dxa"/>
            <w:tcBorders>
              <w:top w:val="single" w:sz="6" w:space="0" w:color="auto"/>
              <w:left w:val="single" w:sz="6" w:space="0" w:color="auto"/>
              <w:bottom w:val="single" w:sz="6" w:space="0" w:color="auto"/>
              <w:right w:val="single" w:sz="6" w:space="0" w:color="auto"/>
            </w:tcBorders>
          </w:tcPr>
          <w:p w14:paraId="2420A7D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7,978</w:t>
            </w:r>
          </w:p>
        </w:tc>
        <w:tc>
          <w:tcPr>
            <w:tcW w:w="1343" w:type="dxa"/>
            <w:tcBorders>
              <w:top w:val="single" w:sz="6" w:space="0" w:color="auto"/>
              <w:left w:val="single" w:sz="6" w:space="0" w:color="auto"/>
              <w:bottom w:val="single" w:sz="6" w:space="0" w:color="auto"/>
              <w:right w:val="single" w:sz="6" w:space="0" w:color="auto"/>
            </w:tcBorders>
          </w:tcPr>
          <w:p w14:paraId="13D43C7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w:t>
            </w:r>
          </w:p>
        </w:tc>
        <w:tc>
          <w:tcPr>
            <w:tcW w:w="1344" w:type="dxa"/>
            <w:tcBorders>
              <w:top w:val="single" w:sz="6" w:space="0" w:color="auto"/>
              <w:left w:val="single" w:sz="6" w:space="0" w:color="auto"/>
              <w:bottom w:val="single" w:sz="6" w:space="0" w:color="auto"/>
              <w:right w:val="single" w:sz="6" w:space="0" w:color="auto"/>
            </w:tcBorders>
          </w:tcPr>
          <w:p w14:paraId="5020C57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93,551</w:t>
            </w:r>
          </w:p>
        </w:tc>
      </w:tr>
      <w:tr w:rsidR="006E111A" w:rsidRPr="00392E0D" w14:paraId="179141E4"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25C0357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1343" w:type="dxa"/>
            <w:tcBorders>
              <w:top w:val="single" w:sz="6" w:space="0" w:color="auto"/>
              <w:left w:val="single" w:sz="6" w:space="0" w:color="auto"/>
              <w:bottom w:val="single" w:sz="6" w:space="0" w:color="auto"/>
              <w:right w:val="single" w:sz="6" w:space="0" w:color="auto"/>
            </w:tcBorders>
          </w:tcPr>
          <w:p w14:paraId="59CECC4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71,019</w:t>
            </w:r>
          </w:p>
        </w:tc>
        <w:tc>
          <w:tcPr>
            <w:tcW w:w="1343" w:type="dxa"/>
            <w:tcBorders>
              <w:top w:val="single" w:sz="6" w:space="0" w:color="auto"/>
              <w:left w:val="single" w:sz="6" w:space="0" w:color="auto"/>
              <w:bottom w:val="single" w:sz="6" w:space="0" w:color="auto"/>
              <w:right w:val="single" w:sz="6" w:space="0" w:color="auto"/>
            </w:tcBorders>
          </w:tcPr>
          <w:p w14:paraId="6D806BC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77.8</w:t>
            </w:r>
          </w:p>
        </w:tc>
        <w:tc>
          <w:tcPr>
            <w:tcW w:w="1344" w:type="dxa"/>
            <w:tcBorders>
              <w:top w:val="single" w:sz="6" w:space="0" w:color="auto"/>
              <w:left w:val="single" w:sz="6" w:space="0" w:color="auto"/>
              <w:bottom w:val="single" w:sz="6" w:space="0" w:color="auto"/>
              <w:right w:val="single" w:sz="6" w:space="0" w:color="auto"/>
            </w:tcBorders>
          </w:tcPr>
          <w:p w14:paraId="72B4A2C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12,471</w:t>
            </w:r>
          </w:p>
        </w:tc>
        <w:tc>
          <w:tcPr>
            <w:tcW w:w="1343" w:type="dxa"/>
            <w:tcBorders>
              <w:top w:val="single" w:sz="6" w:space="0" w:color="auto"/>
              <w:left w:val="single" w:sz="6" w:space="0" w:color="auto"/>
              <w:bottom w:val="single" w:sz="6" w:space="0" w:color="auto"/>
              <w:right w:val="single" w:sz="6" w:space="0" w:color="auto"/>
            </w:tcBorders>
          </w:tcPr>
          <w:p w14:paraId="16D5067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13.7</w:t>
            </w:r>
          </w:p>
        </w:tc>
        <w:tc>
          <w:tcPr>
            <w:tcW w:w="1344" w:type="dxa"/>
            <w:tcBorders>
              <w:top w:val="single" w:sz="6" w:space="0" w:color="auto"/>
              <w:left w:val="single" w:sz="6" w:space="0" w:color="auto"/>
              <w:bottom w:val="single" w:sz="6" w:space="0" w:color="auto"/>
              <w:right w:val="single" w:sz="6" w:space="0" w:color="auto"/>
            </w:tcBorders>
          </w:tcPr>
          <w:p w14:paraId="0565747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7,772</w:t>
            </w:r>
          </w:p>
        </w:tc>
        <w:tc>
          <w:tcPr>
            <w:tcW w:w="1343" w:type="dxa"/>
            <w:tcBorders>
              <w:top w:val="single" w:sz="6" w:space="0" w:color="auto"/>
              <w:left w:val="single" w:sz="6" w:space="0" w:color="auto"/>
              <w:bottom w:val="single" w:sz="6" w:space="0" w:color="auto"/>
              <w:right w:val="single" w:sz="6" w:space="0" w:color="auto"/>
            </w:tcBorders>
          </w:tcPr>
          <w:p w14:paraId="203201C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w:t>
            </w:r>
          </w:p>
        </w:tc>
        <w:tc>
          <w:tcPr>
            <w:tcW w:w="1344" w:type="dxa"/>
            <w:tcBorders>
              <w:top w:val="single" w:sz="6" w:space="0" w:color="auto"/>
              <w:left w:val="single" w:sz="6" w:space="0" w:color="auto"/>
              <w:bottom w:val="single" w:sz="6" w:space="0" w:color="auto"/>
              <w:right w:val="single" w:sz="6" w:space="0" w:color="auto"/>
            </w:tcBorders>
          </w:tcPr>
          <w:p w14:paraId="3979FAA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91,262</w:t>
            </w:r>
          </w:p>
        </w:tc>
      </w:tr>
      <w:tr w:rsidR="006E111A" w:rsidRPr="00392E0D" w14:paraId="066D0365"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3A99994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1343" w:type="dxa"/>
            <w:tcBorders>
              <w:top w:val="single" w:sz="6" w:space="0" w:color="auto"/>
              <w:left w:val="single" w:sz="6" w:space="0" w:color="auto"/>
              <w:bottom w:val="single" w:sz="6" w:space="0" w:color="auto"/>
              <w:right w:val="single" w:sz="6" w:space="0" w:color="auto"/>
            </w:tcBorders>
          </w:tcPr>
          <w:p w14:paraId="3199FD4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69,843</w:t>
            </w:r>
          </w:p>
        </w:tc>
        <w:tc>
          <w:tcPr>
            <w:tcW w:w="1343" w:type="dxa"/>
            <w:tcBorders>
              <w:top w:val="single" w:sz="6" w:space="0" w:color="auto"/>
              <w:left w:val="single" w:sz="6" w:space="0" w:color="auto"/>
              <w:bottom w:val="single" w:sz="6" w:space="0" w:color="auto"/>
              <w:right w:val="single" w:sz="6" w:space="0" w:color="auto"/>
            </w:tcBorders>
          </w:tcPr>
          <w:p w14:paraId="7B96676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78.1</w:t>
            </w:r>
          </w:p>
        </w:tc>
        <w:tc>
          <w:tcPr>
            <w:tcW w:w="1344" w:type="dxa"/>
            <w:tcBorders>
              <w:top w:val="single" w:sz="6" w:space="0" w:color="auto"/>
              <w:left w:val="single" w:sz="6" w:space="0" w:color="auto"/>
              <w:bottom w:val="single" w:sz="6" w:space="0" w:color="auto"/>
              <w:right w:val="single" w:sz="6" w:space="0" w:color="auto"/>
            </w:tcBorders>
          </w:tcPr>
          <w:p w14:paraId="5408E53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12,245</w:t>
            </w:r>
          </w:p>
        </w:tc>
        <w:tc>
          <w:tcPr>
            <w:tcW w:w="1343" w:type="dxa"/>
            <w:tcBorders>
              <w:top w:val="single" w:sz="6" w:space="0" w:color="auto"/>
              <w:left w:val="single" w:sz="6" w:space="0" w:color="auto"/>
              <w:bottom w:val="single" w:sz="6" w:space="0" w:color="auto"/>
              <w:right w:val="single" w:sz="6" w:space="0" w:color="auto"/>
            </w:tcBorders>
          </w:tcPr>
          <w:p w14:paraId="744EDEF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13.7</w:t>
            </w:r>
          </w:p>
        </w:tc>
        <w:tc>
          <w:tcPr>
            <w:tcW w:w="1344" w:type="dxa"/>
            <w:tcBorders>
              <w:top w:val="single" w:sz="6" w:space="0" w:color="auto"/>
              <w:left w:val="single" w:sz="6" w:space="0" w:color="auto"/>
              <w:bottom w:val="single" w:sz="6" w:space="0" w:color="auto"/>
              <w:right w:val="single" w:sz="6" w:space="0" w:color="auto"/>
            </w:tcBorders>
          </w:tcPr>
          <w:p w14:paraId="10CCEEC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7,393</w:t>
            </w:r>
          </w:p>
        </w:tc>
        <w:tc>
          <w:tcPr>
            <w:tcW w:w="1343" w:type="dxa"/>
            <w:tcBorders>
              <w:top w:val="single" w:sz="6" w:space="0" w:color="auto"/>
              <w:left w:val="single" w:sz="6" w:space="0" w:color="auto"/>
              <w:bottom w:val="single" w:sz="6" w:space="0" w:color="auto"/>
              <w:right w:val="single" w:sz="6" w:space="0" w:color="auto"/>
            </w:tcBorders>
          </w:tcPr>
          <w:p w14:paraId="20F1B0C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8.3</w:t>
            </w:r>
          </w:p>
        </w:tc>
        <w:tc>
          <w:tcPr>
            <w:tcW w:w="1344" w:type="dxa"/>
            <w:tcBorders>
              <w:top w:val="single" w:sz="6" w:space="0" w:color="auto"/>
              <w:left w:val="single" w:sz="6" w:space="0" w:color="auto"/>
              <w:bottom w:val="single" w:sz="6" w:space="0" w:color="auto"/>
              <w:right w:val="single" w:sz="6" w:space="0" w:color="auto"/>
            </w:tcBorders>
          </w:tcPr>
          <w:p w14:paraId="73184DC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89,481</w:t>
            </w:r>
          </w:p>
        </w:tc>
      </w:tr>
      <w:tr w:rsidR="006E111A" w:rsidRPr="00392E0D" w14:paraId="25A4DA25"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1F27F86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1343" w:type="dxa"/>
            <w:tcBorders>
              <w:top w:val="single" w:sz="6" w:space="0" w:color="auto"/>
              <w:left w:val="single" w:sz="6" w:space="0" w:color="auto"/>
              <w:bottom w:val="single" w:sz="6" w:space="0" w:color="auto"/>
              <w:right w:val="single" w:sz="6" w:space="0" w:color="auto"/>
            </w:tcBorders>
          </w:tcPr>
          <w:p w14:paraId="5B7188E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65,105</w:t>
            </w:r>
          </w:p>
        </w:tc>
        <w:tc>
          <w:tcPr>
            <w:tcW w:w="1343" w:type="dxa"/>
            <w:tcBorders>
              <w:top w:val="single" w:sz="6" w:space="0" w:color="auto"/>
              <w:left w:val="single" w:sz="6" w:space="0" w:color="auto"/>
              <w:bottom w:val="single" w:sz="6" w:space="0" w:color="auto"/>
              <w:right w:val="single" w:sz="6" w:space="0" w:color="auto"/>
            </w:tcBorders>
          </w:tcPr>
          <w:p w14:paraId="2D9D8E3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78.5</w:t>
            </w:r>
          </w:p>
        </w:tc>
        <w:tc>
          <w:tcPr>
            <w:tcW w:w="1344" w:type="dxa"/>
            <w:tcBorders>
              <w:top w:val="single" w:sz="6" w:space="0" w:color="auto"/>
              <w:left w:val="single" w:sz="6" w:space="0" w:color="auto"/>
              <w:bottom w:val="single" w:sz="6" w:space="0" w:color="auto"/>
              <w:right w:val="single" w:sz="6" w:space="0" w:color="auto"/>
            </w:tcBorders>
          </w:tcPr>
          <w:p w14:paraId="106673D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10,679</w:t>
            </w:r>
          </w:p>
        </w:tc>
        <w:tc>
          <w:tcPr>
            <w:tcW w:w="1343" w:type="dxa"/>
            <w:tcBorders>
              <w:top w:val="single" w:sz="6" w:space="0" w:color="auto"/>
              <w:left w:val="single" w:sz="6" w:space="0" w:color="auto"/>
              <w:bottom w:val="single" w:sz="6" w:space="0" w:color="auto"/>
              <w:right w:val="single" w:sz="6" w:space="0" w:color="auto"/>
            </w:tcBorders>
          </w:tcPr>
          <w:p w14:paraId="45776D2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12.9</w:t>
            </w:r>
          </w:p>
        </w:tc>
        <w:tc>
          <w:tcPr>
            <w:tcW w:w="1344" w:type="dxa"/>
            <w:tcBorders>
              <w:top w:val="single" w:sz="6" w:space="0" w:color="auto"/>
              <w:left w:val="single" w:sz="6" w:space="0" w:color="auto"/>
              <w:bottom w:val="single" w:sz="6" w:space="0" w:color="auto"/>
              <w:right w:val="single" w:sz="6" w:space="0" w:color="auto"/>
            </w:tcBorders>
          </w:tcPr>
          <w:p w14:paraId="11A34DC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7,176</w:t>
            </w:r>
          </w:p>
        </w:tc>
        <w:tc>
          <w:tcPr>
            <w:tcW w:w="1343" w:type="dxa"/>
            <w:tcBorders>
              <w:top w:val="single" w:sz="6" w:space="0" w:color="auto"/>
              <w:left w:val="single" w:sz="6" w:space="0" w:color="auto"/>
              <w:bottom w:val="single" w:sz="6" w:space="0" w:color="auto"/>
              <w:right w:val="single" w:sz="6" w:space="0" w:color="auto"/>
            </w:tcBorders>
          </w:tcPr>
          <w:p w14:paraId="40EBB89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8.6</w:t>
            </w:r>
          </w:p>
        </w:tc>
        <w:tc>
          <w:tcPr>
            <w:tcW w:w="1344" w:type="dxa"/>
            <w:tcBorders>
              <w:top w:val="single" w:sz="6" w:space="0" w:color="auto"/>
              <w:left w:val="single" w:sz="6" w:space="0" w:color="auto"/>
              <w:bottom w:val="single" w:sz="6" w:space="0" w:color="auto"/>
              <w:right w:val="single" w:sz="6" w:space="0" w:color="auto"/>
            </w:tcBorders>
          </w:tcPr>
          <w:p w14:paraId="2E16396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82,960</w:t>
            </w:r>
          </w:p>
        </w:tc>
      </w:tr>
    </w:tbl>
    <w:p w14:paraId="5F505842" w14:textId="77777777" w:rsidR="00EA5C26" w:rsidRPr="00392E0D" w:rsidRDefault="00EA5C26">
      <w:pPr>
        <w:widowControl/>
        <w:autoSpaceDE/>
        <w:autoSpaceDN/>
        <w:rPr>
          <w:rFonts w:ascii="Arial" w:eastAsia="Times New Roman" w:hAnsi="Arial" w:cs="Arial"/>
          <w:color w:val="000000" w:themeColor="text1"/>
          <w:szCs w:val="18"/>
        </w:rPr>
      </w:pPr>
      <w:r w:rsidRPr="00392E0D">
        <w:rPr>
          <w:rFonts w:ascii="Arial" w:hAnsi="Arial" w:cs="Arial"/>
        </w:rPr>
        <w:br w:type="page"/>
      </w:r>
    </w:p>
    <w:p w14:paraId="7AA7CF88" w14:textId="355EB0C5" w:rsidR="006E111A" w:rsidRPr="00392E0D" w:rsidRDefault="006E111A" w:rsidP="00EA5C26">
      <w:pPr>
        <w:pStyle w:val="Caption"/>
        <w:rPr>
          <w:rFonts w:eastAsiaTheme="minorHAnsi" w:cs="Arial"/>
          <w:color w:val="000000"/>
          <w:sz w:val="20"/>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52</w:t>
      </w:r>
      <w:r w:rsidRPr="00392E0D">
        <w:rPr>
          <w:rFonts w:cs="Arial"/>
        </w:rPr>
        <w:fldChar w:fldCharType="end"/>
      </w:r>
      <w:r w:rsidRPr="00392E0D">
        <w:rPr>
          <w:rFonts w:cs="Arial"/>
        </w:rPr>
        <w:tab/>
      </w:r>
      <w:r w:rsidRPr="00392E0D">
        <w:rPr>
          <w:rFonts w:eastAsiaTheme="minorHAnsi" w:cs="Arial"/>
          <w:lang w:val="en-AU"/>
        </w:rPr>
        <w:t>New South Wales trends (2009 – 2021) – Social Competence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6E111A" w:rsidRPr="00392E0D" w14:paraId="01C8E868" w14:textId="77777777" w:rsidTr="008872DA">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5FE09953" w14:textId="77777777" w:rsidR="006E111A" w:rsidRPr="00392E0D" w:rsidRDefault="006E111A" w:rsidP="00EA5C26">
            <w:pPr>
              <w:widowControl/>
              <w:adjustRightInd w:val="0"/>
              <w:spacing w:before="60" w:after="60"/>
              <w:jc w:val="center"/>
              <w:rPr>
                <w:rFonts w:ascii="Arial" w:eastAsiaTheme="minorHAnsi" w:hAnsi="Arial" w:cs="Arial"/>
                <w:color w:val="000000"/>
                <w:sz w:val="20"/>
                <w:szCs w:val="17"/>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4666F34C" w14:textId="27D8A7DF"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769084E5" w14:textId="2B8651E2"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214740AD" w14:textId="2B37D588"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4588ED83" w14:textId="75B75D6E"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310C8B10" w14:textId="010979AB"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493FC1CC" w14:textId="3B94A4DF"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2DFA98E9" w14:textId="5D412A61"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Total (n)</w:t>
            </w:r>
          </w:p>
        </w:tc>
      </w:tr>
      <w:tr w:rsidR="006E111A" w:rsidRPr="00392E0D" w14:paraId="1446808C"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1388956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c>
          <w:tcPr>
            <w:tcW w:w="1343" w:type="dxa"/>
            <w:tcBorders>
              <w:top w:val="single" w:sz="6" w:space="0" w:color="auto"/>
              <w:left w:val="single" w:sz="6" w:space="0" w:color="auto"/>
              <w:bottom w:val="single" w:sz="6" w:space="0" w:color="auto"/>
              <w:right w:val="single" w:sz="6" w:space="0" w:color="auto"/>
            </w:tcBorders>
          </w:tcPr>
          <w:p w14:paraId="79D77B8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68,789</w:t>
            </w:r>
          </w:p>
        </w:tc>
        <w:tc>
          <w:tcPr>
            <w:tcW w:w="1343" w:type="dxa"/>
            <w:tcBorders>
              <w:top w:val="single" w:sz="6" w:space="0" w:color="auto"/>
              <w:left w:val="single" w:sz="6" w:space="0" w:color="auto"/>
              <w:bottom w:val="single" w:sz="6" w:space="0" w:color="auto"/>
              <w:right w:val="single" w:sz="6" w:space="0" w:color="auto"/>
            </w:tcBorders>
          </w:tcPr>
          <w:p w14:paraId="5AAB2AAF"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76.1</w:t>
            </w:r>
          </w:p>
        </w:tc>
        <w:tc>
          <w:tcPr>
            <w:tcW w:w="1344" w:type="dxa"/>
            <w:tcBorders>
              <w:top w:val="single" w:sz="6" w:space="0" w:color="auto"/>
              <w:left w:val="single" w:sz="6" w:space="0" w:color="auto"/>
              <w:bottom w:val="single" w:sz="6" w:space="0" w:color="auto"/>
              <w:right w:val="single" w:sz="6" w:space="0" w:color="auto"/>
            </w:tcBorders>
          </w:tcPr>
          <w:p w14:paraId="7391556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13,175</w:t>
            </w:r>
          </w:p>
        </w:tc>
        <w:tc>
          <w:tcPr>
            <w:tcW w:w="1343" w:type="dxa"/>
            <w:tcBorders>
              <w:top w:val="single" w:sz="6" w:space="0" w:color="auto"/>
              <w:left w:val="single" w:sz="6" w:space="0" w:color="auto"/>
              <w:bottom w:val="single" w:sz="6" w:space="0" w:color="auto"/>
              <w:right w:val="single" w:sz="6" w:space="0" w:color="auto"/>
            </w:tcBorders>
          </w:tcPr>
          <w:p w14:paraId="2986952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14.6</w:t>
            </w:r>
          </w:p>
        </w:tc>
        <w:tc>
          <w:tcPr>
            <w:tcW w:w="1344" w:type="dxa"/>
            <w:tcBorders>
              <w:top w:val="single" w:sz="6" w:space="0" w:color="auto"/>
              <w:left w:val="single" w:sz="6" w:space="0" w:color="auto"/>
              <w:bottom w:val="single" w:sz="6" w:space="0" w:color="auto"/>
              <w:right w:val="single" w:sz="6" w:space="0" w:color="auto"/>
            </w:tcBorders>
          </w:tcPr>
          <w:p w14:paraId="2B15DF4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8,458</w:t>
            </w:r>
          </w:p>
        </w:tc>
        <w:tc>
          <w:tcPr>
            <w:tcW w:w="1343" w:type="dxa"/>
            <w:tcBorders>
              <w:top w:val="single" w:sz="6" w:space="0" w:color="auto"/>
              <w:left w:val="single" w:sz="6" w:space="0" w:color="auto"/>
              <w:bottom w:val="single" w:sz="6" w:space="0" w:color="auto"/>
              <w:right w:val="single" w:sz="6" w:space="0" w:color="auto"/>
            </w:tcBorders>
          </w:tcPr>
          <w:p w14:paraId="0122766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9.4</w:t>
            </w:r>
          </w:p>
        </w:tc>
        <w:tc>
          <w:tcPr>
            <w:tcW w:w="1344" w:type="dxa"/>
            <w:tcBorders>
              <w:top w:val="single" w:sz="6" w:space="0" w:color="auto"/>
              <w:left w:val="single" w:sz="6" w:space="0" w:color="auto"/>
              <w:bottom w:val="single" w:sz="6" w:space="0" w:color="auto"/>
              <w:right w:val="single" w:sz="6" w:space="0" w:color="auto"/>
            </w:tcBorders>
          </w:tcPr>
          <w:p w14:paraId="2225840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90,422</w:t>
            </w:r>
          </w:p>
        </w:tc>
      </w:tr>
      <w:tr w:rsidR="006E111A" w:rsidRPr="00392E0D" w14:paraId="5348E576"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6FBE39D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1343" w:type="dxa"/>
            <w:tcBorders>
              <w:top w:val="single" w:sz="6" w:space="0" w:color="auto"/>
              <w:left w:val="single" w:sz="6" w:space="0" w:color="auto"/>
              <w:bottom w:val="single" w:sz="6" w:space="0" w:color="auto"/>
              <w:right w:val="single" w:sz="6" w:space="0" w:color="auto"/>
            </w:tcBorders>
          </w:tcPr>
          <w:p w14:paraId="6FBDA70F"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72,119</w:t>
            </w:r>
          </w:p>
        </w:tc>
        <w:tc>
          <w:tcPr>
            <w:tcW w:w="1343" w:type="dxa"/>
            <w:tcBorders>
              <w:top w:val="single" w:sz="6" w:space="0" w:color="auto"/>
              <w:left w:val="single" w:sz="6" w:space="0" w:color="auto"/>
              <w:bottom w:val="single" w:sz="6" w:space="0" w:color="auto"/>
              <w:right w:val="single" w:sz="6" w:space="0" w:color="auto"/>
            </w:tcBorders>
          </w:tcPr>
          <w:p w14:paraId="59BEEAA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77.1</w:t>
            </w:r>
          </w:p>
        </w:tc>
        <w:tc>
          <w:tcPr>
            <w:tcW w:w="1344" w:type="dxa"/>
            <w:tcBorders>
              <w:top w:val="single" w:sz="6" w:space="0" w:color="auto"/>
              <w:left w:val="single" w:sz="6" w:space="0" w:color="auto"/>
              <w:bottom w:val="single" w:sz="6" w:space="0" w:color="auto"/>
              <w:right w:val="single" w:sz="6" w:space="0" w:color="auto"/>
            </w:tcBorders>
          </w:tcPr>
          <w:p w14:paraId="0C3CDA6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12,854</w:t>
            </w:r>
          </w:p>
        </w:tc>
        <w:tc>
          <w:tcPr>
            <w:tcW w:w="1343" w:type="dxa"/>
            <w:tcBorders>
              <w:top w:val="single" w:sz="6" w:space="0" w:color="auto"/>
              <w:left w:val="single" w:sz="6" w:space="0" w:color="auto"/>
              <w:bottom w:val="single" w:sz="6" w:space="0" w:color="auto"/>
              <w:right w:val="single" w:sz="6" w:space="0" w:color="auto"/>
            </w:tcBorders>
          </w:tcPr>
          <w:p w14:paraId="1593F4D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13.7</w:t>
            </w:r>
          </w:p>
        </w:tc>
        <w:tc>
          <w:tcPr>
            <w:tcW w:w="1344" w:type="dxa"/>
            <w:tcBorders>
              <w:top w:val="single" w:sz="6" w:space="0" w:color="auto"/>
              <w:left w:val="single" w:sz="6" w:space="0" w:color="auto"/>
              <w:bottom w:val="single" w:sz="6" w:space="0" w:color="auto"/>
              <w:right w:val="single" w:sz="6" w:space="0" w:color="auto"/>
            </w:tcBorders>
          </w:tcPr>
          <w:p w14:paraId="6825B2C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8,568</w:t>
            </w:r>
          </w:p>
        </w:tc>
        <w:tc>
          <w:tcPr>
            <w:tcW w:w="1343" w:type="dxa"/>
            <w:tcBorders>
              <w:top w:val="single" w:sz="6" w:space="0" w:color="auto"/>
              <w:left w:val="single" w:sz="6" w:space="0" w:color="auto"/>
              <w:bottom w:val="single" w:sz="6" w:space="0" w:color="auto"/>
              <w:right w:val="single" w:sz="6" w:space="0" w:color="auto"/>
            </w:tcBorders>
          </w:tcPr>
          <w:p w14:paraId="0947623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9.2</w:t>
            </w:r>
          </w:p>
        </w:tc>
        <w:tc>
          <w:tcPr>
            <w:tcW w:w="1344" w:type="dxa"/>
            <w:tcBorders>
              <w:top w:val="single" w:sz="6" w:space="0" w:color="auto"/>
              <w:left w:val="single" w:sz="6" w:space="0" w:color="auto"/>
              <w:bottom w:val="single" w:sz="6" w:space="0" w:color="auto"/>
              <w:right w:val="single" w:sz="6" w:space="0" w:color="auto"/>
            </w:tcBorders>
          </w:tcPr>
          <w:p w14:paraId="1290ACF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93,541</w:t>
            </w:r>
          </w:p>
        </w:tc>
      </w:tr>
      <w:tr w:rsidR="006E111A" w:rsidRPr="00392E0D" w14:paraId="5A62FC8E"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2E97B64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1343" w:type="dxa"/>
            <w:tcBorders>
              <w:top w:val="single" w:sz="6" w:space="0" w:color="auto"/>
              <w:left w:val="single" w:sz="6" w:space="0" w:color="auto"/>
              <w:bottom w:val="single" w:sz="6" w:space="0" w:color="auto"/>
              <w:right w:val="single" w:sz="6" w:space="0" w:color="auto"/>
            </w:tcBorders>
          </w:tcPr>
          <w:p w14:paraId="0D37EC6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69,828</w:t>
            </w:r>
          </w:p>
        </w:tc>
        <w:tc>
          <w:tcPr>
            <w:tcW w:w="1343" w:type="dxa"/>
            <w:tcBorders>
              <w:top w:val="single" w:sz="6" w:space="0" w:color="auto"/>
              <w:left w:val="single" w:sz="6" w:space="0" w:color="auto"/>
              <w:bottom w:val="single" w:sz="6" w:space="0" w:color="auto"/>
              <w:right w:val="single" w:sz="6" w:space="0" w:color="auto"/>
            </w:tcBorders>
          </w:tcPr>
          <w:p w14:paraId="3573F60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76.5</w:t>
            </w:r>
          </w:p>
        </w:tc>
        <w:tc>
          <w:tcPr>
            <w:tcW w:w="1344" w:type="dxa"/>
            <w:tcBorders>
              <w:top w:val="single" w:sz="6" w:space="0" w:color="auto"/>
              <w:left w:val="single" w:sz="6" w:space="0" w:color="auto"/>
              <w:bottom w:val="single" w:sz="6" w:space="0" w:color="auto"/>
              <w:right w:val="single" w:sz="6" w:space="0" w:color="auto"/>
            </w:tcBorders>
          </w:tcPr>
          <w:p w14:paraId="3CB1DACF"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13,058</w:t>
            </w:r>
          </w:p>
        </w:tc>
        <w:tc>
          <w:tcPr>
            <w:tcW w:w="1343" w:type="dxa"/>
            <w:tcBorders>
              <w:top w:val="single" w:sz="6" w:space="0" w:color="auto"/>
              <w:left w:val="single" w:sz="6" w:space="0" w:color="auto"/>
              <w:bottom w:val="single" w:sz="6" w:space="0" w:color="auto"/>
              <w:right w:val="single" w:sz="6" w:space="0" w:color="auto"/>
            </w:tcBorders>
          </w:tcPr>
          <w:p w14:paraId="0E240B7F"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14.3</w:t>
            </w:r>
          </w:p>
        </w:tc>
        <w:tc>
          <w:tcPr>
            <w:tcW w:w="1344" w:type="dxa"/>
            <w:tcBorders>
              <w:top w:val="single" w:sz="6" w:space="0" w:color="auto"/>
              <w:left w:val="single" w:sz="6" w:space="0" w:color="auto"/>
              <w:bottom w:val="single" w:sz="6" w:space="0" w:color="auto"/>
              <w:right w:val="single" w:sz="6" w:space="0" w:color="auto"/>
            </w:tcBorders>
          </w:tcPr>
          <w:p w14:paraId="17D9C7E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8,359</w:t>
            </w:r>
          </w:p>
        </w:tc>
        <w:tc>
          <w:tcPr>
            <w:tcW w:w="1343" w:type="dxa"/>
            <w:tcBorders>
              <w:top w:val="single" w:sz="6" w:space="0" w:color="auto"/>
              <w:left w:val="single" w:sz="6" w:space="0" w:color="auto"/>
              <w:bottom w:val="single" w:sz="6" w:space="0" w:color="auto"/>
              <w:right w:val="single" w:sz="6" w:space="0" w:color="auto"/>
            </w:tcBorders>
          </w:tcPr>
          <w:p w14:paraId="18D5B3D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9.2</w:t>
            </w:r>
          </w:p>
        </w:tc>
        <w:tc>
          <w:tcPr>
            <w:tcW w:w="1344" w:type="dxa"/>
            <w:tcBorders>
              <w:top w:val="single" w:sz="6" w:space="0" w:color="auto"/>
              <w:left w:val="single" w:sz="6" w:space="0" w:color="auto"/>
              <w:bottom w:val="single" w:sz="6" w:space="0" w:color="auto"/>
              <w:right w:val="single" w:sz="6" w:space="0" w:color="auto"/>
            </w:tcBorders>
          </w:tcPr>
          <w:p w14:paraId="596031C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91,245</w:t>
            </w:r>
          </w:p>
        </w:tc>
      </w:tr>
      <w:tr w:rsidR="006E111A" w:rsidRPr="00392E0D" w14:paraId="180CA43A"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227FBC3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1343" w:type="dxa"/>
            <w:tcBorders>
              <w:top w:val="single" w:sz="6" w:space="0" w:color="auto"/>
              <w:left w:val="single" w:sz="6" w:space="0" w:color="auto"/>
              <w:bottom w:val="single" w:sz="6" w:space="0" w:color="auto"/>
              <w:right w:val="single" w:sz="6" w:space="0" w:color="auto"/>
            </w:tcBorders>
          </w:tcPr>
          <w:p w14:paraId="196346C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69,752</w:t>
            </w:r>
          </w:p>
        </w:tc>
        <w:tc>
          <w:tcPr>
            <w:tcW w:w="1343" w:type="dxa"/>
            <w:tcBorders>
              <w:top w:val="single" w:sz="6" w:space="0" w:color="auto"/>
              <w:left w:val="single" w:sz="6" w:space="0" w:color="auto"/>
              <w:bottom w:val="single" w:sz="6" w:space="0" w:color="auto"/>
              <w:right w:val="single" w:sz="6" w:space="0" w:color="auto"/>
            </w:tcBorders>
          </w:tcPr>
          <w:p w14:paraId="109FACE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78.0</w:t>
            </w:r>
          </w:p>
        </w:tc>
        <w:tc>
          <w:tcPr>
            <w:tcW w:w="1344" w:type="dxa"/>
            <w:tcBorders>
              <w:top w:val="single" w:sz="6" w:space="0" w:color="auto"/>
              <w:left w:val="single" w:sz="6" w:space="0" w:color="auto"/>
              <w:bottom w:val="single" w:sz="6" w:space="0" w:color="auto"/>
              <w:right w:val="single" w:sz="6" w:space="0" w:color="auto"/>
            </w:tcBorders>
          </w:tcPr>
          <w:p w14:paraId="58B97EA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12,043</w:t>
            </w:r>
          </w:p>
        </w:tc>
        <w:tc>
          <w:tcPr>
            <w:tcW w:w="1343" w:type="dxa"/>
            <w:tcBorders>
              <w:top w:val="single" w:sz="6" w:space="0" w:color="auto"/>
              <w:left w:val="single" w:sz="6" w:space="0" w:color="auto"/>
              <w:bottom w:val="single" w:sz="6" w:space="0" w:color="auto"/>
              <w:right w:val="single" w:sz="6" w:space="0" w:color="auto"/>
            </w:tcBorders>
          </w:tcPr>
          <w:p w14:paraId="5F3D7B6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13.5</w:t>
            </w:r>
          </w:p>
        </w:tc>
        <w:tc>
          <w:tcPr>
            <w:tcW w:w="1344" w:type="dxa"/>
            <w:tcBorders>
              <w:top w:val="single" w:sz="6" w:space="0" w:color="auto"/>
              <w:left w:val="single" w:sz="6" w:space="0" w:color="auto"/>
              <w:bottom w:val="single" w:sz="6" w:space="0" w:color="auto"/>
              <w:right w:val="single" w:sz="6" w:space="0" w:color="auto"/>
            </w:tcBorders>
          </w:tcPr>
          <w:p w14:paraId="54B30B7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7,578</w:t>
            </w:r>
          </w:p>
        </w:tc>
        <w:tc>
          <w:tcPr>
            <w:tcW w:w="1343" w:type="dxa"/>
            <w:tcBorders>
              <w:top w:val="single" w:sz="6" w:space="0" w:color="auto"/>
              <w:left w:val="single" w:sz="6" w:space="0" w:color="auto"/>
              <w:bottom w:val="single" w:sz="6" w:space="0" w:color="auto"/>
              <w:right w:val="single" w:sz="6" w:space="0" w:color="auto"/>
            </w:tcBorders>
          </w:tcPr>
          <w:p w14:paraId="73CC665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w:t>
            </w:r>
          </w:p>
        </w:tc>
        <w:tc>
          <w:tcPr>
            <w:tcW w:w="1344" w:type="dxa"/>
            <w:tcBorders>
              <w:top w:val="single" w:sz="6" w:space="0" w:color="auto"/>
              <w:left w:val="single" w:sz="6" w:space="0" w:color="auto"/>
              <w:bottom w:val="single" w:sz="6" w:space="0" w:color="auto"/>
              <w:right w:val="single" w:sz="6" w:space="0" w:color="auto"/>
            </w:tcBorders>
          </w:tcPr>
          <w:p w14:paraId="037E1C3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89,373</w:t>
            </w:r>
          </w:p>
        </w:tc>
      </w:tr>
      <w:tr w:rsidR="006E111A" w:rsidRPr="00392E0D" w14:paraId="0238ACF7"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3804F46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1343" w:type="dxa"/>
            <w:tcBorders>
              <w:top w:val="single" w:sz="6" w:space="0" w:color="auto"/>
              <w:left w:val="single" w:sz="6" w:space="0" w:color="auto"/>
              <w:bottom w:val="single" w:sz="6" w:space="0" w:color="auto"/>
              <w:right w:val="single" w:sz="6" w:space="0" w:color="auto"/>
            </w:tcBorders>
          </w:tcPr>
          <w:p w14:paraId="3121CBA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64,001</w:t>
            </w:r>
          </w:p>
        </w:tc>
        <w:tc>
          <w:tcPr>
            <w:tcW w:w="1343" w:type="dxa"/>
            <w:tcBorders>
              <w:top w:val="single" w:sz="6" w:space="0" w:color="auto"/>
              <w:left w:val="single" w:sz="6" w:space="0" w:color="auto"/>
              <w:bottom w:val="single" w:sz="6" w:space="0" w:color="auto"/>
              <w:right w:val="single" w:sz="6" w:space="0" w:color="auto"/>
            </w:tcBorders>
          </w:tcPr>
          <w:p w14:paraId="788E4EC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77.2</w:t>
            </w:r>
          </w:p>
        </w:tc>
        <w:tc>
          <w:tcPr>
            <w:tcW w:w="1344" w:type="dxa"/>
            <w:tcBorders>
              <w:top w:val="single" w:sz="6" w:space="0" w:color="auto"/>
              <w:left w:val="single" w:sz="6" w:space="0" w:color="auto"/>
              <w:bottom w:val="single" w:sz="6" w:space="0" w:color="auto"/>
              <w:right w:val="single" w:sz="6" w:space="0" w:color="auto"/>
            </w:tcBorders>
          </w:tcPr>
          <w:p w14:paraId="06723B3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11,665</w:t>
            </w:r>
          </w:p>
        </w:tc>
        <w:tc>
          <w:tcPr>
            <w:tcW w:w="1343" w:type="dxa"/>
            <w:tcBorders>
              <w:top w:val="single" w:sz="6" w:space="0" w:color="auto"/>
              <w:left w:val="single" w:sz="6" w:space="0" w:color="auto"/>
              <w:bottom w:val="single" w:sz="6" w:space="0" w:color="auto"/>
              <w:right w:val="single" w:sz="6" w:space="0" w:color="auto"/>
            </w:tcBorders>
          </w:tcPr>
          <w:p w14:paraId="675547C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14.1</w:t>
            </w:r>
          </w:p>
        </w:tc>
        <w:tc>
          <w:tcPr>
            <w:tcW w:w="1344" w:type="dxa"/>
            <w:tcBorders>
              <w:top w:val="single" w:sz="6" w:space="0" w:color="auto"/>
              <w:left w:val="single" w:sz="6" w:space="0" w:color="auto"/>
              <w:bottom w:val="single" w:sz="6" w:space="0" w:color="auto"/>
              <w:right w:val="single" w:sz="6" w:space="0" w:color="auto"/>
            </w:tcBorders>
          </w:tcPr>
          <w:p w14:paraId="4DAF5EA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7,280</w:t>
            </w:r>
          </w:p>
        </w:tc>
        <w:tc>
          <w:tcPr>
            <w:tcW w:w="1343" w:type="dxa"/>
            <w:tcBorders>
              <w:top w:val="single" w:sz="6" w:space="0" w:color="auto"/>
              <w:left w:val="single" w:sz="6" w:space="0" w:color="auto"/>
              <w:bottom w:val="single" w:sz="6" w:space="0" w:color="auto"/>
              <w:right w:val="single" w:sz="6" w:space="0" w:color="auto"/>
            </w:tcBorders>
          </w:tcPr>
          <w:p w14:paraId="5BCE2F5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8.8</w:t>
            </w:r>
          </w:p>
        </w:tc>
        <w:tc>
          <w:tcPr>
            <w:tcW w:w="1344" w:type="dxa"/>
            <w:tcBorders>
              <w:top w:val="single" w:sz="6" w:space="0" w:color="auto"/>
              <w:left w:val="single" w:sz="6" w:space="0" w:color="auto"/>
              <w:bottom w:val="single" w:sz="6" w:space="0" w:color="auto"/>
              <w:right w:val="single" w:sz="6" w:space="0" w:color="auto"/>
            </w:tcBorders>
          </w:tcPr>
          <w:p w14:paraId="0FF9EE5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82,946</w:t>
            </w:r>
          </w:p>
        </w:tc>
      </w:tr>
    </w:tbl>
    <w:p w14:paraId="599AD386" w14:textId="3D013ACF" w:rsidR="006E111A" w:rsidRPr="00392E0D" w:rsidRDefault="006E111A" w:rsidP="00EA5C26">
      <w:pPr>
        <w:pStyle w:val="Caption"/>
        <w:rPr>
          <w:rFonts w:eastAsiaTheme="minorHAnsi" w:cs="Arial"/>
          <w:color w:val="000000"/>
          <w:sz w:val="2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53</w:t>
      </w:r>
      <w:r w:rsidRPr="00392E0D">
        <w:rPr>
          <w:rFonts w:cs="Arial"/>
        </w:rPr>
        <w:fldChar w:fldCharType="end"/>
      </w:r>
      <w:r w:rsidRPr="00392E0D">
        <w:rPr>
          <w:rFonts w:cs="Arial"/>
        </w:rPr>
        <w:tab/>
      </w:r>
      <w:r w:rsidRPr="00392E0D">
        <w:rPr>
          <w:rFonts w:eastAsiaTheme="minorHAnsi" w:cs="Arial"/>
          <w:lang w:val="en-AU"/>
        </w:rPr>
        <w:t>New South Wales trends (2009 – 2021) – Emotional Maturity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6E111A" w:rsidRPr="00392E0D" w14:paraId="2A5BE60F" w14:textId="77777777" w:rsidTr="008872DA">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26AD96A4" w14:textId="77777777" w:rsidR="006E111A" w:rsidRPr="00392E0D" w:rsidRDefault="006E111A" w:rsidP="00EA5C26">
            <w:pPr>
              <w:widowControl/>
              <w:adjustRightInd w:val="0"/>
              <w:spacing w:before="60" w:after="60"/>
              <w:jc w:val="center"/>
              <w:rPr>
                <w:rFonts w:ascii="Arial" w:eastAsiaTheme="minorHAnsi" w:hAnsi="Arial" w:cs="Arial"/>
                <w:color w:val="000000"/>
                <w:sz w:val="20"/>
                <w:szCs w:val="17"/>
                <w:lang w:val="en-AU"/>
              </w:rPr>
            </w:pPr>
          </w:p>
        </w:tc>
        <w:tc>
          <w:tcPr>
            <w:tcW w:w="1343" w:type="dxa"/>
            <w:tcBorders>
              <w:top w:val="single" w:sz="6" w:space="0" w:color="auto"/>
              <w:left w:val="single" w:sz="6" w:space="0" w:color="auto"/>
              <w:bottom w:val="single" w:sz="6" w:space="0" w:color="auto"/>
              <w:right w:val="single" w:sz="6" w:space="0" w:color="auto"/>
            </w:tcBorders>
            <w:shd w:val="solid" w:color="FFFFFF" w:fill="auto"/>
            <w:vAlign w:val="bottom"/>
          </w:tcPr>
          <w:p w14:paraId="6C78D995" w14:textId="39363C5E"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shd w:val="solid" w:color="FFFFFF" w:fill="auto"/>
            <w:vAlign w:val="bottom"/>
          </w:tcPr>
          <w:p w14:paraId="73401852" w14:textId="2E989C19"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shd w:val="solid" w:color="FFFFFF" w:fill="auto"/>
            <w:vAlign w:val="bottom"/>
          </w:tcPr>
          <w:p w14:paraId="7CF1F0E8" w14:textId="0B8C65FF"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shd w:val="solid" w:color="FFFFFF" w:fill="auto"/>
            <w:vAlign w:val="bottom"/>
          </w:tcPr>
          <w:p w14:paraId="68B3DC81" w14:textId="1EE1B028"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shd w:val="solid" w:color="FFFFFF" w:fill="auto"/>
            <w:vAlign w:val="bottom"/>
          </w:tcPr>
          <w:p w14:paraId="571F342D" w14:textId="6818D95C"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shd w:val="solid" w:color="FFFFFF" w:fill="auto"/>
            <w:vAlign w:val="bottom"/>
          </w:tcPr>
          <w:p w14:paraId="63219117" w14:textId="63DE264D"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shd w:val="solid" w:color="FFFFFF" w:fill="auto"/>
            <w:vAlign w:val="bottom"/>
          </w:tcPr>
          <w:p w14:paraId="19C80B08" w14:textId="32395B66"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Total (n)</w:t>
            </w:r>
          </w:p>
        </w:tc>
      </w:tr>
      <w:tr w:rsidR="006E111A" w:rsidRPr="00392E0D" w14:paraId="69EC0602"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2295911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c>
          <w:tcPr>
            <w:tcW w:w="1343" w:type="dxa"/>
            <w:tcBorders>
              <w:top w:val="single" w:sz="6" w:space="0" w:color="auto"/>
              <w:left w:val="single" w:sz="6" w:space="0" w:color="auto"/>
              <w:bottom w:val="single" w:sz="6" w:space="0" w:color="auto"/>
              <w:right w:val="single" w:sz="6" w:space="0" w:color="auto"/>
            </w:tcBorders>
          </w:tcPr>
          <w:p w14:paraId="5EECB9D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71,203</w:t>
            </w:r>
          </w:p>
        </w:tc>
        <w:tc>
          <w:tcPr>
            <w:tcW w:w="1343" w:type="dxa"/>
            <w:tcBorders>
              <w:top w:val="single" w:sz="6" w:space="0" w:color="auto"/>
              <w:left w:val="single" w:sz="6" w:space="0" w:color="auto"/>
              <w:bottom w:val="single" w:sz="6" w:space="0" w:color="auto"/>
              <w:right w:val="single" w:sz="6" w:space="0" w:color="auto"/>
            </w:tcBorders>
          </w:tcPr>
          <w:p w14:paraId="3AA2185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79.1</w:t>
            </w:r>
          </w:p>
        </w:tc>
        <w:tc>
          <w:tcPr>
            <w:tcW w:w="1344" w:type="dxa"/>
            <w:tcBorders>
              <w:top w:val="single" w:sz="6" w:space="0" w:color="auto"/>
              <w:left w:val="single" w:sz="6" w:space="0" w:color="auto"/>
              <w:bottom w:val="single" w:sz="6" w:space="0" w:color="auto"/>
              <w:right w:val="single" w:sz="6" w:space="0" w:color="auto"/>
            </w:tcBorders>
          </w:tcPr>
          <w:p w14:paraId="778C940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12,300</w:t>
            </w:r>
          </w:p>
        </w:tc>
        <w:tc>
          <w:tcPr>
            <w:tcW w:w="1343" w:type="dxa"/>
            <w:tcBorders>
              <w:top w:val="single" w:sz="6" w:space="0" w:color="auto"/>
              <w:left w:val="single" w:sz="6" w:space="0" w:color="auto"/>
              <w:bottom w:val="single" w:sz="6" w:space="0" w:color="auto"/>
              <w:right w:val="single" w:sz="6" w:space="0" w:color="auto"/>
            </w:tcBorders>
          </w:tcPr>
          <w:p w14:paraId="6717A2E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13.7</w:t>
            </w:r>
          </w:p>
        </w:tc>
        <w:tc>
          <w:tcPr>
            <w:tcW w:w="1344" w:type="dxa"/>
            <w:tcBorders>
              <w:top w:val="single" w:sz="6" w:space="0" w:color="auto"/>
              <w:left w:val="single" w:sz="6" w:space="0" w:color="auto"/>
              <w:bottom w:val="single" w:sz="6" w:space="0" w:color="auto"/>
              <w:right w:val="single" w:sz="6" w:space="0" w:color="auto"/>
            </w:tcBorders>
          </w:tcPr>
          <w:p w14:paraId="10D0D04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6,550</w:t>
            </w:r>
          </w:p>
        </w:tc>
        <w:tc>
          <w:tcPr>
            <w:tcW w:w="1343" w:type="dxa"/>
            <w:tcBorders>
              <w:top w:val="single" w:sz="6" w:space="0" w:color="auto"/>
              <w:left w:val="single" w:sz="6" w:space="0" w:color="auto"/>
              <w:bottom w:val="single" w:sz="6" w:space="0" w:color="auto"/>
              <w:right w:val="single" w:sz="6" w:space="0" w:color="auto"/>
            </w:tcBorders>
          </w:tcPr>
          <w:p w14:paraId="35D330A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7.3</w:t>
            </w:r>
          </w:p>
        </w:tc>
        <w:tc>
          <w:tcPr>
            <w:tcW w:w="1344" w:type="dxa"/>
            <w:tcBorders>
              <w:top w:val="single" w:sz="6" w:space="0" w:color="auto"/>
              <w:left w:val="single" w:sz="6" w:space="0" w:color="auto"/>
              <w:bottom w:val="single" w:sz="6" w:space="0" w:color="auto"/>
              <w:right w:val="single" w:sz="6" w:space="0" w:color="auto"/>
            </w:tcBorders>
          </w:tcPr>
          <w:p w14:paraId="01FD352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90,053</w:t>
            </w:r>
          </w:p>
        </w:tc>
      </w:tr>
      <w:tr w:rsidR="006E111A" w:rsidRPr="00392E0D" w14:paraId="32C52853"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1EAF5E7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1343" w:type="dxa"/>
            <w:tcBorders>
              <w:top w:val="single" w:sz="6" w:space="0" w:color="auto"/>
              <w:left w:val="single" w:sz="6" w:space="0" w:color="auto"/>
              <w:bottom w:val="single" w:sz="6" w:space="0" w:color="auto"/>
              <w:right w:val="single" w:sz="6" w:space="0" w:color="auto"/>
            </w:tcBorders>
          </w:tcPr>
          <w:p w14:paraId="48C7964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74,725</w:t>
            </w:r>
          </w:p>
        </w:tc>
        <w:tc>
          <w:tcPr>
            <w:tcW w:w="1343" w:type="dxa"/>
            <w:tcBorders>
              <w:top w:val="single" w:sz="6" w:space="0" w:color="auto"/>
              <w:left w:val="single" w:sz="6" w:space="0" w:color="auto"/>
              <w:bottom w:val="single" w:sz="6" w:space="0" w:color="auto"/>
              <w:right w:val="single" w:sz="6" w:space="0" w:color="auto"/>
            </w:tcBorders>
          </w:tcPr>
          <w:p w14:paraId="2BDD119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80.2</w:t>
            </w:r>
          </w:p>
        </w:tc>
        <w:tc>
          <w:tcPr>
            <w:tcW w:w="1344" w:type="dxa"/>
            <w:tcBorders>
              <w:top w:val="single" w:sz="6" w:space="0" w:color="auto"/>
              <w:left w:val="single" w:sz="6" w:space="0" w:color="auto"/>
              <w:bottom w:val="single" w:sz="6" w:space="0" w:color="auto"/>
              <w:right w:val="single" w:sz="6" w:space="0" w:color="auto"/>
            </w:tcBorders>
          </w:tcPr>
          <w:p w14:paraId="5AF881A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12,136</w:t>
            </w:r>
          </w:p>
        </w:tc>
        <w:tc>
          <w:tcPr>
            <w:tcW w:w="1343" w:type="dxa"/>
            <w:tcBorders>
              <w:top w:val="single" w:sz="6" w:space="0" w:color="auto"/>
              <w:left w:val="single" w:sz="6" w:space="0" w:color="auto"/>
              <w:bottom w:val="single" w:sz="6" w:space="0" w:color="auto"/>
              <w:right w:val="single" w:sz="6" w:space="0" w:color="auto"/>
            </w:tcBorders>
          </w:tcPr>
          <w:p w14:paraId="0A91EB0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13.0</w:t>
            </w:r>
          </w:p>
        </w:tc>
        <w:tc>
          <w:tcPr>
            <w:tcW w:w="1344" w:type="dxa"/>
            <w:tcBorders>
              <w:top w:val="single" w:sz="6" w:space="0" w:color="auto"/>
              <w:left w:val="single" w:sz="6" w:space="0" w:color="auto"/>
              <w:bottom w:val="single" w:sz="6" w:space="0" w:color="auto"/>
              <w:right w:val="single" w:sz="6" w:space="0" w:color="auto"/>
            </w:tcBorders>
          </w:tcPr>
          <w:p w14:paraId="1AF2812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6,306</w:t>
            </w:r>
          </w:p>
        </w:tc>
        <w:tc>
          <w:tcPr>
            <w:tcW w:w="1343" w:type="dxa"/>
            <w:tcBorders>
              <w:top w:val="single" w:sz="6" w:space="0" w:color="auto"/>
              <w:left w:val="single" w:sz="6" w:space="0" w:color="auto"/>
              <w:bottom w:val="single" w:sz="6" w:space="0" w:color="auto"/>
              <w:right w:val="single" w:sz="6" w:space="0" w:color="auto"/>
            </w:tcBorders>
          </w:tcPr>
          <w:p w14:paraId="64526B1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6.8</w:t>
            </w:r>
          </w:p>
        </w:tc>
        <w:tc>
          <w:tcPr>
            <w:tcW w:w="1344" w:type="dxa"/>
            <w:tcBorders>
              <w:top w:val="single" w:sz="6" w:space="0" w:color="auto"/>
              <w:left w:val="single" w:sz="6" w:space="0" w:color="auto"/>
              <w:bottom w:val="single" w:sz="6" w:space="0" w:color="auto"/>
              <w:right w:val="single" w:sz="6" w:space="0" w:color="auto"/>
            </w:tcBorders>
          </w:tcPr>
          <w:p w14:paraId="48E2759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93,167</w:t>
            </w:r>
          </w:p>
        </w:tc>
      </w:tr>
      <w:tr w:rsidR="006E111A" w:rsidRPr="00392E0D" w14:paraId="6854CBBB"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50A8BA2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1343" w:type="dxa"/>
            <w:tcBorders>
              <w:top w:val="single" w:sz="6" w:space="0" w:color="auto"/>
              <w:left w:val="single" w:sz="6" w:space="0" w:color="auto"/>
              <w:bottom w:val="single" w:sz="6" w:space="0" w:color="auto"/>
              <w:right w:val="single" w:sz="6" w:space="0" w:color="auto"/>
            </w:tcBorders>
          </w:tcPr>
          <w:p w14:paraId="73FAB81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71,870</w:t>
            </w:r>
          </w:p>
        </w:tc>
        <w:tc>
          <w:tcPr>
            <w:tcW w:w="1343" w:type="dxa"/>
            <w:tcBorders>
              <w:top w:val="single" w:sz="6" w:space="0" w:color="auto"/>
              <w:left w:val="single" w:sz="6" w:space="0" w:color="auto"/>
              <w:bottom w:val="single" w:sz="6" w:space="0" w:color="auto"/>
              <w:right w:val="single" w:sz="6" w:space="0" w:color="auto"/>
            </w:tcBorders>
          </w:tcPr>
          <w:p w14:paraId="74746A1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79.1</w:t>
            </w:r>
          </w:p>
        </w:tc>
        <w:tc>
          <w:tcPr>
            <w:tcW w:w="1344" w:type="dxa"/>
            <w:tcBorders>
              <w:top w:val="single" w:sz="6" w:space="0" w:color="auto"/>
              <w:left w:val="single" w:sz="6" w:space="0" w:color="auto"/>
              <w:bottom w:val="single" w:sz="6" w:space="0" w:color="auto"/>
              <w:right w:val="single" w:sz="6" w:space="0" w:color="auto"/>
            </w:tcBorders>
          </w:tcPr>
          <w:p w14:paraId="3116252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12,757</w:t>
            </w:r>
          </w:p>
        </w:tc>
        <w:tc>
          <w:tcPr>
            <w:tcW w:w="1343" w:type="dxa"/>
            <w:tcBorders>
              <w:top w:val="single" w:sz="6" w:space="0" w:color="auto"/>
              <w:left w:val="single" w:sz="6" w:space="0" w:color="auto"/>
              <w:bottom w:val="single" w:sz="6" w:space="0" w:color="auto"/>
              <w:right w:val="single" w:sz="6" w:space="0" w:color="auto"/>
            </w:tcBorders>
          </w:tcPr>
          <w:p w14:paraId="399C49A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14.0</w:t>
            </w:r>
          </w:p>
        </w:tc>
        <w:tc>
          <w:tcPr>
            <w:tcW w:w="1344" w:type="dxa"/>
            <w:tcBorders>
              <w:top w:val="single" w:sz="6" w:space="0" w:color="auto"/>
              <w:left w:val="single" w:sz="6" w:space="0" w:color="auto"/>
              <w:bottom w:val="single" w:sz="6" w:space="0" w:color="auto"/>
              <w:right w:val="single" w:sz="6" w:space="0" w:color="auto"/>
            </w:tcBorders>
          </w:tcPr>
          <w:p w14:paraId="3BC312A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6,176</w:t>
            </w:r>
          </w:p>
        </w:tc>
        <w:tc>
          <w:tcPr>
            <w:tcW w:w="1343" w:type="dxa"/>
            <w:tcBorders>
              <w:top w:val="single" w:sz="6" w:space="0" w:color="auto"/>
              <w:left w:val="single" w:sz="6" w:space="0" w:color="auto"/>
              <w:bottom w:val="single" w:sz="6" w:space="0" w:color="auto"/>
              <w:right w:val="single" w:sz="6" w:space="0" w:color="auto"/>
            </w:tcBorders>
          </w:tcPr>
          <w:p w14:paraId="45AFF30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6.8</w:t>
            </w:r>
          </w:p>
        </w:tc>
        <w:tc>
          <w:tcPr>
            <w:tcW w:w="1344" w:type="dxa"/>
            <w:tcBorders>
              <w:top w:val="single" w:sz="6" w:space="0" w:color="auto"/>
              <w:left w:val="single" w:sz="6" w:space="0" w:color="auto"/>
              <w:bottom w:val="single" w:sz="6" w:space="0" w:color="auto"/>
              <w:right w:val="single" w:sz="6" w:space="0" w:color="auto"/>
            </w:tcBorders>
          </w:tcPr>
          <w:p w14:paraId="0A0B234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90,803</w:t>
            </w:r>
          </w:p>
        </w:tc>
      </w:tr>
      <w:tr w:rsidR="006E111A" w:rsidRPr="00392E0D" w14:paraId="604AE871"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1818B19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1343" w:type="dxa"/>
            <w:tcBorders>
              <w:top w:val="single" w:sz="6" w:space="0" w:color="auto"/>
              <w:left w:val="single" w:sz="6" w:space="0" w:color="auto"/>
              <w:bottom w:val="single" w:sz="6" w:space="0" w:color="auto"/>
              <w:right w:val="single" w:sz="6" w:space="0" w:color="auto"/>
            </w:tcBorders>
          </w:tcPr>
          <w:p w14:paraId="0661632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72,282</w:t>
            </w:r>
          </w:p>
        </w:tc>
        <w:tc>
          <w:tcPr>
            <w:tcW w:w="1343" w:type="dxa"/>
            <w:tcBorders>
              <w:top w:val="single" w:sz="6" w:space="0" w:color="auto"/>
              <w:left w:val="single" w:sz="6" w:space="0" w:color="auto"/>
              <w:bottom w:val="single" w:sz="6" w:space="0" w:color="auto"/>
              <w:right w:val="single" w:sz="6" w:space="0" w:color="auto"/>
            </w:tcBorders>
          </w:tcPr>
          <w:p w14:paraId="612536E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81.2</w:t>
            </w:r>
          </w:p>
        </w:tc>
        <w:tc>
          <w:tcPr>
            <w:tcW w:w="1344" w:type="dxa"/>
            <w:tcBorders>
              <w:top w:val="single" w:sz="6" w:space="0" w:color="auto"/>
              <w:left w:val="single" w:sz="6" w:space="0" w:color="auto"/>
              <w:bottom w:val="single" w:sz="6" w:space="0" w:color="auto"/>
              <w:right w:val="single" w:sz="6" w:space="0" w:color="auto"/>
            </w:tcBorders>
          </w:tcPr>
          <w:p w14:paraId="6BB7A85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11,219</w:t>
            </w:r>
          </w:p>
        </w:tc>
        <w:tc>
          <w:tcPr>
            <w:tcW w:w="1343" w:type="dxa"/>
            <w:tcBorders>
              <w:top w:val="single" w:sz="6" w:space="0" w:color="auto"/>
              <w:left w:val="single" w:sz="6" w:space="0" w:color="auto"/>
              <w:bottom w:val="single" w:sz="6" w:space="0" w:color="auto"/>
              <w:right w:val="single" w:sz="6" w:space="0" w:color="auto"/>
            </w:tcBorders>
          </w:tcPr>
          <w:p w14:paraId="7FC2C1F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12.6</w:t>
            </w:r>
          </w:p>
        </w:tc>
        <w:tc>
          <w:tcPr>
            <w:tcW w:w="1344" w:type="dxa"/>
            <w:tcBorders>
              <w:top w:val="single" w:sz="6" w:space="0" w:color="auto"/>
              <w:left w:val="single" w:sz="6" w:space="0" w:color="auto"/>
              <w:bottom w:val="single" w:sz="6" w:space="0" w:color="auto"/>
              <w:right w:val="single" w:sz="6" w:space="0" w:color="auto"/>
            </w:tcBorders>
          </w:tcPr>
          <w:p w14:paraId="6D97F3F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5,487</w:t>
            </w:r>
          </w:p>
        </w:tc>
        <w:tc>
          <w:tcPr>
            <w:tcW w:w="1343" w:type="dxa"/>
            <w:tcBorders>
              <w:top w:val="single" w:sz="6" w:space="0" w:color="auto"/>
              <w:left w:val="single" w:sz="6" w:space="0" w:color="auto"/>
              <w:bottom w:val="single" w:sz="6" w:space="0" w:color="auto"/>
              <w:right w:val="single" w:sz="6" w:space="0" w:color="auto"/>
            </w:tcBorders>
          </w:tcPr>
          <w:p w14:paraId="7977902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6.2</w:t>
            </w:r>
          </w:p>
        </w:tc>
        <w:tc>
          <w:tcPr>
            <w:tcW w:w="1344" w:type="dxa"/>
            <w:tcBorders>
              <w:top w:val="single" w:sz="6" w:space="0" w:color="auto"/>
              <w:left w:val="single" w:sz="6" w:space="0" w:color="auto"/>
              <w:bottom w:val="single" w:sz="6" w:space="0" w:color="auto"/>
              <w:right w:val="single" w:sz="6" w:space="0" w:color="auto"/>
            </w:tcBorders>
          </w:tcPr>
          <w:p w14:paraId="7AE28D1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88,988</w:t>
            </w:r>
          </w:p>
        </w:tc>
      </w:tr>
      <w:tr w:rsidR="006E111A" w:rsidRPr="00392E0D" w14:paraId="5AEEE133"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34C42F7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1343" w:type="dxa"/>
            <w:tcBorders>
              <w:top w:val="single" w:sz="6" w:space="0" w:color="auto"/>
              <w:left w:val="single" w:sz="6" w:space="0" w:color="auto"/>
              <w:bottom w:val="single" w:sz="6" w:space="0" w:color="auto"/>
              <w:right w:val="single" w:sz="6" w:space="0" w:color="auto"/>
            </w:tcBorders>
          </w:tcPr>
          <w:p w14:paraId="655D97B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64,660</w:t>
            </w:r>
          </w:p>
        </w:tc>
        <w:tc>
          <w:tcPr>
            <w:tcW w:w="1343" w:type="dxa"/>
            <w:tcBorders>
              <w:top w:val="single" w:sz="6" w:space="0" w:color="auto"/>
              <w:left w:val="single" w:sz="6" w:space="0" w:color="auto"/>
              <w:bottom w:val="single" w:sz="6" w:space="0" w:color="auto"/>
              <w:right w:val="single" w:sz="6" w:space="0" w:color="auto"/>
            </w:tcBorders>
          </w:tcPr>
          <w:p w14:paraId="5292E74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78.3</w:t>
            </w:r>
          </w:p>
        </w:tc>
        <w:tc>
          <w:tcPr>
            <w:tcW w:w="1344" w:type="dxa"/>
            <w:tcBorders>
              <w:top w:val="single" w:sz="6" w:space="0" w:color="auto"/>
              <w:left w:val="single" w:sz="6" w:space="0" w:color="auto"/>
              <w:bottom w:val="single" w:sz="6" w:space="0" w:color="auto"/>
              <w:right w:val="single" w:sz="6" w:space="0" w:color="auto"/>
            </w:tcBorders>
          </w:tcPr>
          <w:p w14:paraId="68BF82C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11,812</w:t>
            </w:r>
          </w:p>
        </w:tc>
        <w:tc>
          <w:tcPr>
            <w:tcW w:w="1343" w:type="dxa"/>
            <w:tcBorders>
              <w:top w:val="single" w:sz="6" w:space="0" w:color="auto"/>
              <w:left w:val="single" w:sz="6" w:space="0" w:color="auto"/>
              <w:bottom w:val="single" w:sz="6" w:space="0" w:color="auto"/>
              <w:right w:val="single" w:sz="6" w:space="0" w:color="auto"/>
            </w:tcBorders>
          </w:tcPr>
          <w:p w14:paraId="1609136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14.3</w:t>
            </w:r>
          </w:p>
        </w:tc>
        <w:tc>
          <w:tcPr>
            <w:tcW w:w="1344" w:type="dxa"/>
            <w:tcBorders>
              <w:top w:val="single" w:sz="6" w:space="0" w:color="auto"/>
              <w:left w:val="single" w:sz="6" w:space="0" w:color="auto"/>
              <w:bottom w:val="single" w:sz="6" w:space="0" w:color="auto"/>
              <w:right w:val="single" w:sz="6" w:space="0" w:color="auto"/>
            </w:tcBorders>
          </w:tcPr>
          <w:p w14:paraId="7539A9E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6,144</w:t>
            </w:r>
          </w:p>
        </w:tc>
        <w:tc>
          <w:tcPr>
            <w:tcW w:w="1343" w:type="dxa"/>
            <w:tcBorders>
              <w:top w:val="single" w:sz="6" w:space="0" w:color="auto"/>
              <w:left w:val="single" w:sz="6" w:space="0" w:color="auto"/>
              <w:bottom w:val="single" w:sz="6" w:space="0" w:color="auto"/>
              <w:right w:val="single" w:sz="6" w:space="0" w:color="auto"/>
            </w:tcBorders>
          </w:tcPr>
          <w:p w14:paraId="40382D8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7.4</w:t>
            </w:r>
          </w:p>
        </w:tc>
        <w:tc>
          <w:tcPr>
            <w:tcW w:w="1344" w:type="dxa"/>
            <w:tcBorders>
              <w:top w:val="single" w:sz="6" w:space="0" w:color="auto"/>
              <w:left w:val="single" w:sz="6" w:space="0" w:color="auto"/>
              <w:bottom w:val="single" w:sz="6" w:space="0" w:color="auto"/>
              <w:right w:val="single" w:sz="6" w:space="0" w:color="auto"/>
            </w:tcBorders>
          </w:tcPr>
          <w:p w14:paraId="463784CF"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82,616</w:t>
            </w:r>
          </w:p>
        </w:tc>
      </w:tr>
    </w:tbl>
    <w:p w14:paraId="453F2D87" w14:textId="65112050" w:rsidR="006E111A" w:rsidRPr="00392E0D" w:rsidRDefault="006E111A" w:rsidP="00EA5C26">
      <w:pPr>
        <w:pStyle w:val="Caption"/>
        <w:rPr>
          <w:rFonts w:eastAsiaTheme="minorHAnsi" w:cs="Arial"/>
          <w:color w:val="000000"/>
          <w:sz w:val="20"/>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54</w:t>
      </w:r>
      <w:r w:rsidRPr="00392E0D">
        <w:rPr>
          <w:rFonts w:cs="Arial"/>
        </w:rPr>
        <w:fldChar w:fldCharType="end"/>
      </w:r>
      <w:r w:rsidRPr="00392E0D">
        <w:rPr>
          <w:rFonts w:cs="Arial"/>
        </w:rPr>
        <w:tab/>
      </w:r>
      <w:r w:rsidRPr="00392E0D">
        <w:rPr>
          <w:rFonts w:eastAsiaTheme="minorHAnsi" w:cs="Arial"/>
          <w:lang w:val="en-AU"/>
        </w:rPr>
        <w:t>New South Wales trends (2009 – 2021) – Language and cognitive skills (school-based)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6E111A" w:rsidRPr="00392E0D" w14:paraId="4BE72B3E" w14:textId="77777777" w:rsidTr="008872DA">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2C1B98BA" w14:textId="77777777" w:rsidR="006E111A" w:rsidRPr="00392E0D" w:rsidRDefault="006E111A" w:rsidP="00EA5C26">
            <w:pPr>
              <w:widowControl/>
              <w:adjustRightInd w:val="0"/>
              <w:spacing w:before="60" w:after="60"/>
              <w:jc w:val="center"/>
              <w:rPr>
                <w:rFonts w:ascii="Arial" w:eastAsiaTheme="minorHAnsi" w:hAnsi="Arial" w:cs="Arial"/>
                <w:color w:val="000000"/>
                <w:sz w:val="20"/>
                <w:szCs w:val="17"/>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39BEDBC1" w14:textId="5AA92267"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6A016030" w14:textId="1189331E"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51D412EA" w14:textId="1C3751C1"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4FE6700D" w14:textId="155F7FC9"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66582C8" w14:textId="62DC29AA"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0F570741" w14:textId="697A4C21"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18BDFEDD" w14:textId="4D88716A"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Total (n)</w:t>
            </w:r>
          </w:p>
        </w:tc>
      </w:tr>
      <w:tr w:rsidR="006E111A" w:rsidRPr="00392E0D" w14:paraId="0E94DCC0"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7E72C3E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c>
          <w:tcPr>
            <w:tcW w:w="1343" w:type="dxa"/>
            <w:tcBorders>
              <w:top w:val="single" w:sz="6" w:space="0" w:color="auto"/>
              <w:left w:val="single" w:sz="6" w:space="0" w:color="auto"/>
              <w:bottom w:val="single" w:sz="6" w:space="0" w:color="auto"/>
              <w:right w:val="single" w:sz="6" w:space="0" w:color="auto"/>
            </w:tcBorders>
          </w:tcPr>
          <w:p w14:paraId="13D1B78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76,676</w:t>
            </w:r>
          </w:p>
        </w:tc>
        <w:tc>
          <w:tcPr>
            <w:tcW w:w="1343" w:type="dxa"/>
            <w:tcBorders>
              <w:top w:val="single" w:sz="6" w:space="0" w:color="auto"/>
              <w:left w:val="single" w:sz="6" w:space="0" w:color="auto"/>
              <w:bottom w:val="single" w:sz="6" w:space="0" w:color="auto"/>
              <w:right w:val="single" w:sz="6" w:space="0" w:color="auto"/>
            </w:tcBorders>
          </w:tcPr>
          <w:p w14:paraId="6F7B7F33"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84.9</w:t>
            </w:r>
          </w:p>
        </w:tc>
        <w:tc>
          <w:tcPr>
            <w:tcW w:w="1344" w:type="dxa"/>
            <w:tcBorders>
              <w:top w:val="single" w:sz="6" w:space="0" w:color="auto"/>
              <w:left w:val="single" w:sz="6" w:space="0" w:color="auto"/>
              <w:bottom w:val="single" w:sz="6" w:space="0" w:color="auto"/>
              <w:right w:val="single" w:sz="6" w:space="0" w:color="auto"/>
            </w:tcBorders>
          </w:tcPr>
          <w:p w14:paraId="6FCBC5B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8,092</w:t>
            </w:r>
          </w:p>
        </w:tc>
        <w:tc>
          <w:tcPr>
            <w:tcW w:w="1343" w:type="dxa"/>
            <w:tcBorders>
              <w:top w:val="single" w:sz="6" w:space="0" w:color="auto"/>
              <w:left w:val="single" w:sz="6" w:space="0" w:color="auto"/>
              <w:bottom w:val="single" w:sz="6" w:space="0" w:color="auto"/>
              <w:right w:val="single" w:sz="6" w:space="0" w:color="auto"/>
            </w:tcBorders>
          </w:tcPr>
          <w:p w14:paraId="776C861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w:t>
            </w:r>
          </w:p>
        </w:tc>
        <w:tc>
          <w:tcPr>
            <w:tcW w:w="1344" w:type="dxa"/>
            <w:tcBorders>
              <w:top w:val="single" w:sz="6" w:space="0" w:color="auto"/>
              <w:left w:val="single" w:sz="6" w:space="0" w:color="auto"/>
              <w:bottom w:val="single" w:sz="6" w:space="0" w:color="auto"/>
              <w:right w:val="single" w:sz="6" w:space="0" w:color="auto"/>
            </w:tcBorders>
          </w:tcPr>
          <w:p w14:paraId="196142B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5,576</w:t>
            </w:r>
          </w:p>
        </w:tc>
        <w:tc>
          <w:tcPr>
            <w:tcW w:w="1343" w:type="dxa"/>
            <w:tcBorders>
              <w:top w:val="single" w:sz="6" w:space="0" w:color="auto"/>
              <w:left w:val="single" w:sz="6" w:space="0" w:color="auto"/>
              <w:bottom w:val="single" w:sz="6" w:space="0" w:color="auto"/>
              <w:right w:val="single" w:sz="6" w:space="0" w:color="auto"/>
            </w:tcBorders>
          </w:tcPr>
          <w:p w14:paraId="4349A4B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6.2</w:t>
            </w:r>
          </w:p>
        </w:tc>
        <w:tc>
          <w:tcPr>
            <w:tcW w:w="1344" w:type="dxa"/>
            <w:tcBorders>
              <w:top w:val="single" w:sz="6" w:space="0" w:color="auto"/>
              <w:left w:val="single" w:sz="6" w:space="0" w:color="auto"/>
              <w:bottom w:val="single" w:sz="6" w:space="0" w:color="auto"/>
              <w:right w:val="single" w:sz="6" w:space="0" w:color="auto"/>
            </w:tcBorders>
          </w:tcPr>
          <w:p w14:paraId="7B412E2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90,344</w:t>
            </w:r>
          </w:p>
        </w:tc>
      </w:tr>
      <w:tr w:rsidR="006E111A" w:rsidRPr="00392E0D" w14:paraId="29F7A04B"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7FE55CF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1343" w:type="dxa"/>
            <w:tcBorders>
              <w:top w:val="single" w:sz="6" w:space="0" w:color="auto"/>
              <w:left w:val="single" w:sz="6" w:space="0" w:color="auto"/>
              <w:bottom w:val="single" w:sz="6" w:space="0" w:color="auto"/>
              <w:right w:val="single" w:sz="6" w:space="0" w:color="auto"/>
            </w:tcBorders>
          </w:tcPr>
          <w:p w14:paraId="1D2D01F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81,521</w:t>
            </w:r>
          </w:p>
        </w:tc>
        <w:tc>
          <w:tcPr>
            <w:tcW w:w="1343" w:type="dxa"/>
            <w:tcBorders>
              <w:top w:val="single" w:sz="6" w:space="0" w:color="auto"/>
              <w:left w:val="single" w:sz="6" w:space="0" w:color="auto"/>
              <w:bottom w:val="single" w:sz="6" w:space="0" w:color="auto"/>
              <w:right w:val="single" w:sz="6" w:space="0" w:color="auto"/>
            </w:tcBorders>
          </w:tcPr>
          <w:p w14:paraId="62B1597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87.2</w:t>
            </w:r>
          </w:p>
        </w:tc>
        <w:tc>
          <w:tcPr>
            <w:tcW w:w="1344" w:type="dxa"/>
            <w:tcBorders>
              <w:top w:val="single" w:sz="6" w:space="0" w:color="auto"/>
              <w:left w:val="single" w:sz="6" w:space="0" w:color="auto"/>
              <w:bottom w:val="single" w:sz="6" w:space="0" w:color="auto"/>
              <w:right w:val="single" w:sz="6" w:space="0" w:color="auto"/>
            </w:tcBorders>
          </w:tcPr>
          <w:p w14:paraId="48C10F6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7,086</w:t>
            </w:r>
          </w:p>
        </w:tc>
        <w:tc>
          <w:tcPr>
            <w:tcW w:w="1343" w:type="dxa"/>
            <w:tcBorders>
              <w:top w:val="single" w:sz="6" w:space="0" w:color="auto"/>
              <w:left w:val="single" w:sz="6" w:space="0" w:color="auto"/>
              <w:bottom w:val="single" w:sz="6" w:space="0" w:color="auto"/>
              <w:right w:val="single" w:sz="6" w:space="0" w:color="auto"/>
            </w:tcBorders>
          </w:tcPr>
          <w:p w14:paraId="3179BE7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7.6</w:t>
            </w:r>
          </w:p>
        </w:tc>
        <w:tc>
          <w:tcPr>
            <w:tcW w:w="1344" w:type="dxa"/>
            <w:tcBorders>
              <w:top w:val="single" w:sz="6" w:space="0" w:color="auto"/>
              <w:left w:val="single" w:sz="6" w:space="0" w:color="auto"/>
              <w:bottom w:val="single" w:sz="6" w:space="0" w:color="auto"/>
              <w:right w:val="single" w:sz="6" w:space="0" w:color="auto"/>
            </w:tcBorders>
          </w:tcPr>
          <w:p w14:paraId="268C83F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4,884</w:t>
            </w:r>
          </w:p>
        </w:tc>
        <w:tc>
          <w:tcPr>
            <w:tcW w:w="1343" w:type="dxa"/>
            <w:tcBorders>
              <w:top w:val="single" w:sz="6" w:space="0" w:color="auto"/>
              <w:left w:val="single" w:sz="6" w:space="0" w:color="auto"/>
              <w:bottom w:val="single" w:sz="6" w:space="0" w:color="auto"/>
              <w:right w:val="single" w:sz="6" w:space="0" w:color="auto"/>
            </w:tcBorders>
          </w:tcPr>
          <w:p w14:paraId="77B079E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5.2</w:t>
            </w:r>
          </w:p>
        </w:tc>
        <w:tc>
          <w:tcPr>
            <w:tcW w:w="1344" w:type="dxa"/>
            <w:tcBorders>
              <w:top w:val="single" w:sz="6" w:space="0" w:color="auto"/>
              <w:left w:val="single" w:sz="6" w:space="0" w:color="auto"/>
              <w:bottom w:val="single" w:sz="6" w:space="0" w:color="auto"/>
              <w:right w:val="single" w:sz="6" w:space="0" w:color="auto"/>
            </w:tcBorders>
          </w:tcPr>
          <w:p w14:paraId="4842139F"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93,491</w:t>
            </w:r>
          </w:p>
        </w:tc>
      </w:tr>
      <w:tr w:rsidR="006E111A" w:rsidRPr="00392E0D" w14:paraId="264BEE09"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1BCD157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1343" w:type="dxa"/>
            <w:tcBorders>
              <w:top w:val="single" w:sz="6" w:space="0" w:color="auto"/>
              <w:left w:val="single" w:sz="6" w:space="0" w:color="auto"/>
              <w:bottom w:val="single" w:sz="6" w:space="0" w:color="auto"/>
              <w:right w:val="single" w:sz="6" w:space="0" w:color="auto"/>
            </w:tcBorders>
          </w:tcPr>
          <w:p w14:paraId="25BC72B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80,140</w:t>
            </w:r>
          </w:p>
        </w:tc>
        <w:tc>
          <w:tcPr>
            <w:tcW w:w="1343" w:type="dxa"/>
            <w:tcBorders>
              <w:top w:val="single" w:sz="6" w:space="0" w:color="auto"/>
              <w:left w:val="single" w:sz="6" w:space="0" w:color="auto"/>
              <w:bottom w:val="single" w:sz="6" w:space="0" w:color="auto"/>
              <w:right w:val="single" w:sz="6" w:space="0" w:color="auto"/>
            </w:tcBorders>
          </w:tcPr>
          <w:p w14:paraId="498A523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87.9</w:t>
            </w:r>
          </w:p>
        </w:tc>
        <w:tc>
          <w:tcPr>
            <w:tcW w:w="1344" w:type="dxa"/>
            <w:tcBorders>
              <w:top w:val="single" w:sz="6" w:space="0" w:color="auto"/>
              <w:left w:val="single" w:sz="6" w:space="0" w:color="auto"/>
              <w:bottom w:val="single" w:sz="6" w:space="0" w:color="auto"/>
              <w:right w:val="single" w:sz="6" w:space="0" w:color="auto"/>
            </w:tcBorders>
          </w:tcPr>
          <w:p w14:paraId="5A81D3F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6,699</w:t>
            </w:r>
          </w:p>
        </w:tc>
        <w:tc>
          <w:tcPr>
            <w:tcW w:w="1343" w:type="dxa"/>
            <w:tcBorders>
              <w:top w:val="single" w:sz="6" w:space="0" w:color="auto"/>
              <w:left w:val="single" w:sz="6" w:space="0" w:color="auto"/>
              <w:bottom w:val="single" w:sz="6" w:space="0" w:color="auto"/>
              <w:right w:val="single" w:sz="6" w:space="0" w:color="auto"/>
            </w:tcBorders>
          </w:tcPr>
          <w:p w14:paraId="41AE64F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7.3</w:t>
            </w:r>
          </w:p>
        </w:tc>
        <w:tc>
          <w:tcPr>
            <w:tcW w:w="1344" w:type="dxa"/>
            <w:tcBorders>
              <w:top w:val="single" w:sz="6" w:space="0" w:color="auto"/>
              <w:left w:val="single" w:sz="6" w:space="0" w:color="auto"/>
              <w:bottom w:val="single" w:sz="6" w:space="0" w:color="auto"/>
              <w:right w:val="single" w:sz="6" w:space="0" w:color="auto"/>
            </w:tcBorders>
          </w:tcPr>
          <w:p w14:paraId="5A64C36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4,360</w:t>
            </w:r>
          </w:p>
        </w:tc>
        <w:tc>
          <w:tcPr>
            <w:tcW w:w="1343" w:type="dxa"/>
            <w:tcBorders>
              <w:top w:val="single" w:sz="6" w:space="0" w:color="auto"/>
              <w:left w:val="single" w:sz="6" w:space="0" w:color="auto"/>
              <w:bottom w:val="single" w:sz="6" w:space="0" w:color="auto"/>
              <w:right w:val="single" w:sz="6" w:space="0" w:color="auto"/>
            </w:tcBorders>
          </w:tcPr>
          <w:p w14:paraId="66A8440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4.8</w:t>
            </w:r>
          </w:p>
        </w:tc>
        <w:tc>
          <w:tcPr>
            <w:tcW w:w="1344" w:type="dxa"/>
            <w:tcBorders>
              <w:top w:val="single" w:sz="6" w:space="0" w:color="auto"/>
              <w:left w:val="single" w:sz="6" w:space="0" w:color="auto"/>
              <w:bottom w:val="single" w:sz="6" w:space="0" w:color="auto"/>
              <w:right w:val="single" w:sz="6" w:space="0" w:color="auto"/>
            </w:tcBorders>
          </w:tcPr>
          <w:p w14:paraId="604731B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91,199</w:t>
            </w:r>
          </w:p>
        </w:tc>
      </w:tr>
      <w:tr w:rsidR="006E111A" w:rsidRPr="00392E0D" w14:paraId="5910AD88"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49F7A8F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1343" w:type="dxa"/>
            <w:tcBorders>
              <w:top w:val="single" w:sz="6" w:space="0" w:color="auto"/>
              <w:left w:val="single" w:sz="6" w:space="0" w:color="auto"/>
              <w:bottom w:val="single" w:sz="6" w:space="0" w:color="auto"/>
              <w:right w:val="single" w:sz="6" w:space="0" w:color="auto"/>
            </w:tcBorders>
          </w:tcPr>
          <w:p w14:paraId="3D19A91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78,022</w:t>
            </w:r>
          </w:p>
        </w:tc>
        <w:tc>
          <w:tcPr>
            <w:tcW w:w="1343" w:type="dxa"/>
            <w:tcBorders>
              <w:top w:val="single" w:sz="6" w:space="0" w:color="auto"/>
              <w:left w:val="single" w:sz="6" w:space="0" w:color="auto"/>
              <w:bottom w:val="single" w:sz="6" w:space="0" w:color="auto"/>
              <w:right w:val="single" w:sz="6" w:space="0" w:color="auto"/>
            </w:tcBorders>
          </w:tcPr>
          <w:p w14:paraId="1C792C1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87.2</w:t>
            </w:r>
          </w:p>
        </w:tc>
        <w:tc>
          <w:tcPr>
            <w:tcW w:w="1344" w:type="dxa"/>
            <w:tcBorders>
              <w:top w:val="single" w:sz="6" w:space="0" w:color="auto"/>
              <w:left w:val="single" w:sz="6" w:space="0" w:color="auto"/>
              <w:bottom w:val="single" w:sz="6" w:space="0" w:color="auto"/>
              <w:right w:val="single" w:sz="6" w:space="0" w:color="auto"/>
            </w:tcBorders>
          </w:tcPr>
          <w:p w14:paraId="6F9CC8B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7,177</w:t>
            </w:r>
          </w:p>
        </w:tc>
        <w:tc>
          <w:tcPr>
            <w:tcW w:w="1343" w:type="dxa"/>
            <w:tcBorders>
              <w:top w:val="single" w:sz="6" w:space="0" w:color="auto"/>
              <w:left w:val="single" w:sz="6" w:space="0" w:color="auto"/>
              <w:bottom w:val="single" w:sz="6" w:space="0" w:color="auto"/>
              <w:right w:val="single" w:sz="6" w:space="0" w:color="auto"/>
            </w:tcBorders>
          </w:tcPr>
          <w:p w14:paraId="6CCDF3D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8.0</w:t>
            </w:r>
          </w:p>
        </w:tc>
        <w:tc>
          <w:tcPr>
            <w:tcW w:w="1344" w:type="dxa"/>
            <w:tcBorders>
              <w:top w:val="single" w:sz="6" w:space="0" w:color="auto"/>
              <w:left w:val="single" w:sz="6" w:space="0" w:color="auto"/>
              <w:bottom w:val="single" w:sz="6" w:space="0" w:color="auto"/>
              <w:right w:val="single" w:sz="6" w:space="0" w:color="auto"/>
            </w:tcBorders>
          </w:tcPr>
          <w:p w14:paraId="340F8E3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4,251</w:t>
            </w:r>
          </w:p>
        </w:tc>
        <w:tc>
          <w:tcPr>
            <w:tcW w:w="1343" w:type="dxa"/>
            <w:tcBorders>
              <w:top w:val="single" w:sz="6" w:space="0" w:color="auto"/>
              <w:left w:val="single" w:sz="6" w:space="0" w:color="auto"/>
              <w:bottom w:val="single" w:sz="6" w:space="0" w:color="auto"/>
              <w:right w:val="single" w:sz="6" w:space="0" w:color="auto"/>
            </w:tcBorders>
          </w:tcPr>
          <w:p w14:paraId="53CEAB9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4.8</w:t>
            </w:r>
          </w:p>
        </w:tc>
        <w:tc>
          <w:tcPr>
            <w:tcW w:w="1344" w:type="dxa"/>
            <w:tcBorders>
              <w:top w:val="single" w:sz="6" w:space="0" w:color="auto"/>
              <w:left w:val="single" w:sz="6" w:space="0" w:color="auto"/>
              <w:bottom w:val="single" w:sz="6" w:space="0" w:color="auto"/>
              <w:right w:val="single" w:sz="6" w:space="0" w:color="auto"/>
            </w:tcBorders>
          </w:tcPr>
          <w:p w14:paraId="3A9AA09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89,450</w:t>
            </w:r>
          </w:p>
        </w:tc>
      </w:tr>
      <w:tr w:rsidR="006E111A" w:rsidRPr="00392E0D" w14:paraId="036B5DC2"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6FDE15F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1343" w:type="dxa"/>
            <w:tcBorders>
              <w:top w:val="single" w:sz="6" w:space="0" w:color="auto"/>
              <w:left w:val="single" w:sz="6" w:space="0" w:color="auto"/>
              <w:bottom w:val="single" w:sz="6" w:space="0" w:color="auto"/>
              <w:right w:val="single" w:sz="6" w:space="0" w:color="auto"/>
            </w:tcBorders>
          </w:tcPr>
          <w:p w14:paraId="35FDA39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70,137</w:t>
            </w:r>
          </w:p>
        </w:tc>
        <w:tc>
          <w:tcPr>
            <w:tcW w:w="1343" w:type="dxa"/>
            <w:tcBorders>
              <w:top w:val="single" w:sz="6" w:space="0" w:color="auto"/>
              <w:left w:val="single" w:sz="6" w:space="0" w:color="auto"/>
              <w:bottom w:val="single" w:sz="6" w:space="0" w:color="auto"/>
              <w:right w:val="single" w:sz="6" w:space="0" w:color="auto"/>
            </w:tcBorders>
          </w:tcPr>
          <w:p w14:paraId="5E7978E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84.6</w:t>
            </w:r>
          </w:p>
        </w:tc>
        <w:tc>
          <w:tcPr>
            <w:tcW w:w="1344" w:type="dxa"/>
            <w:tcBorders>
              <w:top w:val="single" w:sz="6" w:space="0" w:color="auto"/>
              <w:left w:val="single" w:sz="6" w:space="0" w:color="auto"/>
              <w:bottom w:val="single" w:sz="6" w:space="0" w:color="auto"/>
              <w:right w:val="single" w:sz="6" w:space="0" w:color="auto"/>
            </w:tcBorders>
          </w:tcPr>
          <w:p w14:paraId="751FED5D"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7,907</w:t>
            </w:r>
          </w:p>
        </w:tc>
        <w:tc>
          <w:tcPr>
            <w:tcW w:w="1343" w:type="dxa"/>
            <w:tcBorders>
              <w:top w:val="single" w:sz="6" w:space="0" w:color="auto"/>
              <w:left w:val="single" w:sz="6" w:space="0" w:color="auto"/>
              <w:bottom w:val="single" w:sz="6" w:space="0" w:color="auto"/>
              <w:right w:val="single" w:sz="6" w:space="0" w:color="auto"/>
            </w:tcBorders>
          </w:tcPr>
          <w:p w14:paraId="64E1F28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9.5</w:t>
            </w:r>
          </w:p>
        </w:tc>
        <w:tc>
          <w:tcPr>
            <w:tcW w:w="1344" w:type="dxa"/>
            <w:tcBorders>
              <w:top w:val="single" w:sz="6" w:space="0" w:color="auto"/>
              <w:left w:val="single" w:sz="6" w:space="0" w:color="auto"/>
              <w:bottom w:val="single" w:sz="6" w:space="0" w:color="auto"/>
              <w:right w:val="single" w:sz="6" w:space="0" w:color="auto"/>
            </w:tcBorders>
          </w:tcPr>
          <w:p w14:paraId="4B214A7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4,855</w:t>
            </w:r>
          </w:p>
        </w:tc>
        <w:tc>
          <w:tcPr>
            <w:tcW w:w="1343" w:type="dxa"/>
            <w:tcBorders>
              <w:top w:val="single" w:sz="6" w:space="0" w:color="auto"/>
              <w:left w:val="single" w:sz="6" w:space="0" w:color="auto"/>
              <w:bottom w:val="single" w:sz="6" w:space="0" w:color="auto"/>
              <w:right w:val="single" w:sz="6" w:space="0" w:color="auto"/>
            </w:tcBorders>
          </w:tcPr>
          <w:p w14:paraId="57322D3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5.9</w:t>
            </w:r>
          </w:p>
        </w:tc>
        <w:tc>
          <w:tcPr>
            <w:tcW w:w="1344" w:type="dxa"/>
            <w:tcBorders>
              <w:top w:val="single" w:sz="6" w:space="0" w:color="auto"/>
              <w:left w:val="single" w:sz="6" w:space="0" w:color="auto"/>
              <w:bottom w:val="single" w:sz="6" w:space="0" w:color="auto"/>
              <w:right w:val="single" w:sz="6" w:space="0" w:color="auto"/>
            </w:tcBorders>
          </w:tcPr>
          <w:p w14:paraId="3AFC7D9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82,899</w:t>
            </w:r>
          </w:p>
        </w:tc>
      </w:tr>
    </w:tbl>
    <w:p w14:paraId="369B221F" w14:textId="109A3BAF" w:rsidR="006E111A" w:rsidRPr="00392E0D" w:rsidRDefault="006E111A" w:rsidP="006E111A">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55</w:t>
      </w:r>
      <w:r w:rsidRPr="00392E0D">
        <w:rPr>
          <w:rFonts w:cs="Arial"/>
        </w:rPr>
        <w:fldChar w:fldCharType="end"/>
      </w:r>
      <w:r w:rsidRPr="00392E0D">
        <w:rPr>
          <w:rFonts w:cs="Arial"/>
        </w:rPr>
        <w:tab/>
      </w:r>
      <w:r w:rsidRPr="00392E0D">
        <w:rPr>
          <w:rFonts w:eastAsiaTheme="minorHAnsi" w:cs="Arial"/>
        </w:rPr>
        <w:t>New South Wales trends (2009 – 2021) – Communication skills and general knowledge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6E111A" w:rsidRPr="00392E0D" w14:paraId="6A51F578" w14:textId="77777777" w:rsidTr="008872DA">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01713F89" w14:textId="77777777" w:rsidR="006E111A" w:rsidRPr="00392E0D" w:rsidRDefault="006E111A" w:rsidP="00EA5C26">
            <w:pPr>
              <w:widowControl/>
              <w:adjustRightInd w:val="0"/>
              <w:spacing w:before="60" w:after="60"/>
              <w:jc w:val="center"/>
              <w:rPr>
                <w:rFonts w:ascii="Arial" w:eastAsiaTheme="minorHAnsi" w:hAnsi="Arial" w:cs="Arial"/>
                <w:color w:val="000000"/>
                <w:sz w:val="20"/>
                <w:szCs w:val="17"/>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709F1819" w14:textId="6836D006"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226C732B" w14:textId="7864309A"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358AEFD8" w14:textId="1CB3206C"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2E20064A" w14:textId="661FEA28"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1D9E100A" w14:textId="1591751F"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53DA0A3A" w14:textId="225DEADA" w:rsidR="006E111A" w:rsidRPr="00392E0D" w:rsidRDefault="00ED2465"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Develop-mentally</w:t>
            </w:r>
            <w:r w:rsidR="006E111A" w:rsidRPr="00392E0D">
              <w:rPr>
                <w:rFonts w:ascii="Arial" w:eastAsiaTheme="minorHAnsi" w:hAnsi="Arial" w:cs="Arial"/>
                <w:color w:val="000000"/>
                <w:sz w:val="20"/>
                <w:szCs w:val="17"/>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6EC72E8E" w14:textId="24985AA4" w:rsidR="006E111A" w:rsidRPr="00392E0D" w:rsidRDefault="009B7612" w:rsidP="00EA5C26">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Total (n)</w:t>
            </w:r>
          </w:p>
        </w:tc>
      </w:tr>
      <w:tr w:rsidR="006E111A" w:rsidRPr="00392E0D" w14:paraId="73B78789"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6542EE6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2021</w:t>
            </w:r>
          </w:p>
        </w:tc>
        <w:tc>
          <w:tcPr>
            <w:tcW w:w="1343" w:type="dxa"/>
            <w:tcBorders>
              <w:top w:val="single" w:sz="6" w:space="0" w:color="auto"/>
              <w:left w:val="single" w:sz="6" w:space="0" w:color="auto"/>
              <w:bottom w:val="single" w:sz="6" w:space="0" w:color="auto"/>
              <w:right w:val="single" w:sz="6" w:space="0" w:color="auto"/>
            </w:tcBorders>
          </w:tcPr>
          <w:p w14:paraId="53C1089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68,741</w:t>
            </w:r>
          </w:p>
        </w:tc>
        <w:tc>
          <w:tcPr>
            <w:tcW w:w="1343" w:type="dxa"/>
            <w:tcBorders>
              <w:top w:val="single" w:sz="6" w:space="0" w:color="auto"/>
              <w:left w:val="single" w:sz="6" w:space="0" w:color="auto"/>
              <w:bottom w:val="single" w:sz="6" w:space="0" w:color="auto"/>
              <w:right w:val="single" w:sz="6" w:space="0" w:color="auto"/>
            </w:tcBorders>
          </w:tcPr>
          <w:p w14:paraId="2F743A0A"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76.0</w:t>
            </w:r>
          </w:p>
        </w:tc>
        <w:tc>
          <w:tcPr>
            <w:tcW w:w="1344" w:type="dxa"/>
            <w:tcBorders>
              <w:top w:val="single" w:sz="6" w:space="0" w:color="auto"/>
              <w:left w:val="single" w:sz="6" w:space="0" w:color="auto"/>
              <w:bottom w:val="single" w:sz="6" w:space="0" w:color="auto"/>
              <w:right w:val="single" w:sz="6" w:space="0" w:color="auto"/>
            </w:tcBorders>
          </w:tcPr>
          <w:p w14:paraId="18E364A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14,068</w:t>
            </w:r>
          </w:p>
        </w:tc>
        <w:tc>
          <w:tcPr>
            <w:tcW w:w="1343" w:type="dxa"/>
            <w:tcBorders>
              <w:top w:val="single" w:sz="6" w:space="0" w:color="auto"/>
              <w:left w:val="single" w:sz="6" w:space="0" w:color="auto"/>
              <w:bottom w:val="single" w:sz="6" w:space="0" w:color="auto"/>
              <w:right w:val="single" w:sz="6" w:space="0" w:color="auto"/>
            </w:tcBorders>
          </w:tcPr>
          <w:p w14:paraId="66993E6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15.6</w:t>
            </w:r>
          </w:p>
        </w:tc>
        <w:tc>
          <w:tcPr>
            <w:tcW w:w="1344" w:type="dxa"/>
            <w:tcBorders>
              <w:top w:val="single" w:sz="6" w:space="0" w:color="auto"/>
              <w:left w:val="single" w:sz="6" w:space="0" w:color="auto"/>
              <w:bottom w:val="single" w:sz="6" w:space="0" w:color="auto"/>
              <w:right w:val="single" w:sz="6" w:space="0" w:color="auto"/>
            </w:tcBorders>
          </w:tcPr>
          <w:p w14:paraId="1FFB9FD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7,618</w:t>
            </w:r>
          </w:p>
        </w:tc>
        <w:tc>
          <w:tcPr>
            <w:tcW w:w="1343" w:type="dxa"/>
            <w:tcBorders>
              <w:top w:val="single" w:sz="6" w:space="0" w:color="auto"/>
              <w:left w:val="single" w:sz="6" w:space="0" w:color="auto"/>
              <w:bottom w:val="single" w:sz="6" w:space="0" w:color="auto"/>
              <w:right w:val="single" w:sz="6" w:space="0" w:color="auto"/>
            </w:tcBorders>
          </w:tcPr>
          <w:p w14:paraId="132F5A8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8.4</w:t>
            </w:r>
          </w:p>
        </w:tc>
        <w:tc>
          <w:tcPr>
            <w:tcW w:w="1344" w:type="dxa"/>
            <w:tcBorders>
              <w:top w:val="single" w:sz="6" w:space="0" w:color="auto"/>
              <w:left w:val="single" w:sz="6" w:space="0" w:color="auto"/>
              <w:bottom w:val="single" w:sz="6" w:space="0" w:color="auto"/>
              <w:right w:val="single" w:sz="6" w:space="0" w:color="auto"/>
            </w:tcBorders>
          </w:tcPr>
          <w:p w14:paraId="1AB02CE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90,427</w:t>
            </w:r>
          </w:p>
        </w:tc>
      </w:tr>
      <w:tr w:rsidR="006E111A" w:rsidRPr="00392E0D" w14:paraId="1BEF880B"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62D7890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2018</w:t>
            </w:r>
          </w:p>
        </w:tc>
        <w:tc>
          <w:tcPr>
            <w:tcW w:w="1343" w:type="dxa"/>
            <w:tcBorders>
              <w:top w:val="single" w:sz="6" w:space="0" w:color="auto"/>
              <w:left w:val="single" w:sz="6" w:space="0" w:color="auto"/>
              <w:bottom w:val="single" w:sz="6" w:space="0" w:color="auto"/>
              <w:right w:val="single" w:sz="6" w:space="0" w:color="auto"/>
            </w:tcBorders>
          </w:tcPr>
          <w:p w14:paraId="01AFDD7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71,825</w:t>
            </w:r>
          </w:p>
        </w:tc>
        <w:tc>
          <w:tcPr>
            <w:tcW w:w="1343" w:type="dxa"/>
            <w:tcBorders>
              <w:top w:val="single" w:sz="6" w:space="0" w:color="auto"/>
              <w:left w:val="single" w:sz="6" w:space="0" w:color="auto"/>
              <w:bottom w:val="single" w:sz="6" w:space="0" w:color="auto"/>
              <w:right w:val="single" w:sz="6" w:space="0" w:color="auto"/>
            </w:tcBorders>
          </w:tcPr>
          <w:p w14:paraId="52D083A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76.8</w:t>
            </w:r>
          </w:p>
        </w:tc>
        <w:tc>
          <w:tcPr>
            <w:tcW w:w="1344" w:type="dxa"/>
            <w:tcBorders>
              <w:top w:val="single" w:sz="6" w:space="0" w:color="auto"/>
              <w:left w:val="single" w:sz="6" w:space="0" w:color="auto"/>
              <w:bottom w:val="single" w:sz="6" w:space="0" w:color="auto"/>
              <w:right w:val="single" w:sz="6" w:space="0" w:color="auto"/>
            </w:tcBorders>
          </w:tcPr>
          <w:p w14:paraId="2457CB4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14,268</w:t>
            </w:r>
          </w:p>
        </w:tc>
        <w:tc>
          <w:tcPr>
            <w:tcW w:w="1343" w:type="dxa"/>
            <w:tcBorders>
              <w:top w:val="single" w:sz="6" w:space="0" w:color="auto"/>
              <w:left w:val="single" w:sz="6" w:space="0" w:color="auto"/>
              <w:bottom w:val="single" w:sz="6" w:space="0" w:color="auto"/>
              <w:right w:val="single" w:sz="6" w:space="0" w:color="auto"/>
            </w:tcBorders>
          </w:tcPr>
          <w:p w14:paraId="571E4E50"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15.3</w:t>
            </w:r>
          </w:p>
        </w:tc>
        <w:tc>
          <w:tcPr>
            <w:tcW w:w="1344" w:type="dxa"/>
            <w:tcBorders>
              <w:top w:val="single" w:sz="6" w:space="0" w:color="auto"/>
              <w:left w:val="single" w:sz="6" w:space="0" w:color="auto"/>
              <w:bottom w:val="single" w:sz="6" w:space="0" w:color="auto"/>
              <w:right w:val="single" w:sz="6" w:space="0" w:color="auto"/>
            </w:tcBorders>
          </w:tcPr>
          <w:p w14:paraId="40AF4601"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7,448</w:t>
            </w:r>
          </w:p>
        </w:tc>
        <w:tc>
          <w:tcPr>
            <w:tcW w:w="1343" w:type="dxa"/>
            <w:tcBorders>
              <w:top w:val="single" w:sz="6" w:space="0" w:color="auto"/>
              <w:left w:val="single" w:sz="6" w:space="0" w:color="auto"/>
              <w:bottom w:val="single" w:sz="6" w:space="0" w:color="auto"/>
              <w:right w:val="single" w:sz="6" w:space="0" w:color="auto"/>
            </w:tcBorders>
          </w:tcPr>
          <w:p w14:paraId="1F1D6045"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8.0</w:t>
            </w:r>
          </w:p>
        </w:tc>
        <w:tc>
          <w:tcPr>
            <w:tcW w:w="1344" w:type="dxa"/>
            <w:tcBorders>
              <w:top w:val="single" w:sz="6" w:space="0" w:color="auto"/>
              <w:left w:val="single" w:sz="6" w:space="0" w:color="auto"/>
              <w:bottom w:val="single" w:sz="6" w:space="0" w:color="auto"/>
              <w:right w:val="single" w:sz="6" w:space="0" w:color="auto"/>
            </w:tcBorders>
          </w:tcPr>
          <w:p w14:paraId="4502EA9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93,541</w:t>
            </w:r>
          </w:p>
        </w:tc>
      </w:tr>
      <w:tr w:rsidR="006E111A" w:rsidRPr="00392E0D" w14:paraId="3632C7DB"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4F42BCE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2015</w:t>
            </w:r>
          </w:p>
        </w:tc>
        <w:tc>
          <w:tcPr>
            <w:tcW w:w="1343" w:type="dxa"/>
            <w:tcBorders>
              <w:top w:val="single" w:sz="6" w:space="0" w:color="auto"/>
              <w:left w:val="single" w:sz="6" w:space="0" w:color="auto"/>
              <w:bottom w:val="single" w:sz="6" w:space="0" w:color="auto"/>
              <w:right w:val="single" w:sz="6" w:space="0" w:color="auto"/>
            </w:tcBorders>
          </w:tcPr>
          <w:p w14:paraId="4E55B88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69,247</w:t>
            </w:r>
          </w:p>
        </w:tc>
        <w:tc>
          <w:tcPr>
            <w:tcW w:w="1343" w:type="dxa"/>
            <w:tcBorders>
              <w:top w:val="single" w:sz="6" w:space="0" w:color="auto"/>
              <w:left w:val="single" w:sz="6" w:space="0" w:color="auto"/>
              <w:bottom w:val="single" w:sz="6" w:space="0" w:color="auto"/>
              <w:right w:val="single" w:sz="6" w:space="0" w:color="auto"/>
            </w:tcBorders>
          </w:tcPr>
          <w:p w14:paraId="49948E8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75.9</w:t>
            </w:r>
          </w:p>
        </w:tc>
        <w:tc>
          <w:tcPr>
            <w:tcW w:w="1344" w:type="dxa"/>
            <w:tcBorders>
              <w:top w:val="single" w:sz="6" w:space="0" w:color="auto"/>
              <w:left w:val="single" w:sz="6" w:space="0" w:color="auto"/>
              <w:bottom w:val="single" w:sz="6" w:space="0" w:color="auto"/>
              <w:right w:val="single" w:sz="6" w:space="0" w:color="auto"/>
            </w:tcBorders>
          </w:tcPr>
          <w:p w14:paraId="632D6E9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14,656</w:t>
            </w:r>
          </w:p>
        </w:tc>
        <w:tc>
          <w:tcPr>
            <w:tcW w:w="1343" w:type="dxa"/>
            <w:tcBorders>
              <w:top w:val="single" w:sz="6" w:space="0" w:color="auto"/>
              <w:left w:val="single" w:sz="6" w:space="0" w:color="auto"/>
              <w:bottom w:val="single" w:sz="6" w:space="0" w:color="auto"/>
              <w:right w:val="single" w:sz="6" w:space="0" w:color="auto"/>
            </w:tcBorders>
          </w:tcPr>
          <w:p w14:paraId="60F89FF9"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16.1</w:t>
            </w:r>
          </w:p>
        </w:tc>
        <w:tc>
          <w:tcPr>
            <w:tcW w:w="1344" w:type="dxa"/>
            <w:tcBorders>
              <w:top w:val="single" w:sz="6" w:space="0" w:color="auto"/>
              <w:left w:val="single" w:sz="6" w:space="0" w:color="auto"/>
              <w:bottom w:val="single" w:sz="6" w:space="0" w:color="auto"/>
              <w:right w:val="single" w:sz="6" w:space="0" w:color="auto"/>
            </w:tcBorders>
          </w:tcPr>
          <w:p w14:paraId="3D1DFCB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7,360</w:t>
            </w:r>
          </w:p>
        </w:tc>
        <w:tc>
          <w:tcPr>
            <w:tcW w:w="1343" w:type="dxa"/>
            <w:tcBorders>
              <w:top w:val="single" w:sz="6" w:space="0" w:color="auto"/>
              <w:left w:val="single" w:sz="6" w:space="0" w:color="auto"/>
              <w:bottom w:val="single" w:sz="6" w:space="0" w:color="auto"/>
              <w:right w:val="single" w:sz="6" w:space="0" w:color="auto"/>
            </w:tcBorders>
          </w:tcPr>
          <w:p w14:paraId="427573A4"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8.1</w:t>
            </w:r>
          </w:p>
        </w:tc>
        <w:tc>
          <w:tcPr>
            <w:tcW w:w="1344" w:type="dxa"/>
            <w:tcBorders>
              <w:top w:val="single" w:sz="6" w:space="0" w:color="auto"/>
              <w:left w:val="single" w:sz="6" w:space="0" w:color="auto"/>
              <w:bottom w:val="single" w:sz="6" w:space="0" w:color="auto"/>
              <w:right w:val="single" w:sz="6" w:space="0" w:color="auto"/>
            </w:tcBorders>
          </w:tcPr>
          <w:p w14:paraId="2EE22F06"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91,263</w:t>
            </w:r>
          </w:p>
        </w:tc>
      </w:tr>
      <w:tr w:rsidR="006E111A" w:rsidRPr="00392E0D" w14:paraId="65435347"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5529EBC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2012</w:t>
            </w:r>
          </w:p>
        </w:tc>
        <w:tc>
          <w:tcPr>
            <w:tcW w:w="1343" w:type="dxa"/>
            <w:tcBorders>
              <w:top w:val="single" w:sz="6" w:space="0" w:color="auto"/>
              <w:left w:val="single" w:sz="6" w:space="0" w:color="auto"/>
              <w:bottom w:val="single" w:sz="6" w:space="0" w:color="auto"/>
              <w:right w:val="single" w:sz="6" w:space="0" w:color="auto"/>
            </w:tcBorders>
          </w:tcPr>
          <w:p w14:paraId="44464B1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66,806</w:t>
            </w:r>
          </w:p>
        </w:tc>
        <w:tc>
          <w:tcPr>
            <w:tcW w:w="1343" w:type="dxa"/>
            <w:tcBorders>
              <w:top w:val="single" w:sz="6" w:space="0" w:color="auto"/>
              <w:left w:val="single" w:sz="6" w:space="0" w:color="auto"/>
              <w:bottom w:val="single" w:sz="6" w:space="0" w:color="auto"/>
              <w:right w:val="single" w:sz="6" w:space="0" w:color="auto"/>
            </w:tcBorders>
          </w:tcPr>
          <w:p w14:paraId="57BB947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74.7</w:t>
            </w:r>
          </w:p>
        </w:tc>
        <w:tc>
          <w:tcPr>
            <w:tcW w:w="1344" w:type="dxa"/>
            <w:tcBorders>
              <w:top w:val="single" w:sz="6" w:space="0" w:color="auto"/>
              <w:left w:val="single" w:sz="6" w:space="0" w:color="auto"/>
              <w:bottom w:val="single" w:sz="6" w:space="0" w:color="auto"/>
              <w:right w:val="single" w:sz="6" w:space="0" w:color="auto"/>
            </w:tcBorders>
          </w:tcPr>
          <w:p w14:paraId="523C3EC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15,064</w:t>
            </w:r>
          </w:p>
        </w:tc>
        <w:tc>
          <w:tcPr>
            <w:tcW w:w="1343" w:type="dxa"/>
            <w:tcBorders>
              <w:top w:val="single" w:sz="6" w:space="0" w:color="auto"/>
              <w:left w:val="single" w:sz="6" w:space="0" w:color="auto"/>
              <w:bottom w:val="single" w:sz="6" w:space="0" w:color="auto"/>
              <w:right w:val="single" w:sz="6" w:space="0" w:color="auto"/>
            </w:tcBorders>
          </w:tcPr>
          <w:p w14:paraId="6C420B9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16.8</w:t>
            </w:r>
          </w:p>
        </w:tc>
        <w:tc>
          <w:tcPr>
            <w:tcW w:w="1344" w:type="dxa"/>
            <w:tcBorders>
              <w:top w:val="single" w:sz="6" w:space="0" w:color="auto"/>
              <w:left w:val="single" w:sz="6" w:space="0" w:color="auto"/>
              <w:bottom w:val="single" w:sz="6" w:space="0" w:color="auto"/>
              <w:right w:val="single" w:sz="6" w:space="0" w:color="auto"/>
            </w:tcBorders>
          </w:tcPr>
          <w:p w14:paraId="3CC2DCB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7,590</w:t>
            </w:r>
          </w:p>
        </w:tc>
        <w:tc>
          <w:tcPr>
            <w:tcW w:w="1343" w:type="dxa"/>
            <w:tcBorders>
              <w:top w:val="single" w:sz="6" w:space="0" w:color="auto"/>
              <w:left w:val="single" w:sz="6" w:space="0" w:color="auto"/>
              <w:bottom w:val="single" w:sz="6" w:space="0" w:color="auto"/>
              <w:right w:val="single" w:sz="6" w:space="0" w:color="auto"/>
            </w:tcBorders>
          </w:tcPr>
          <w:p w14:paraId="1A9A624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8.5</w:t>
            </w:r>
          </w:p>
        </w:tc>
        <w:tc>
          <w:tcPr>
            <w:tcW w:w="1344" w:type="dxa"/>
            <w:tcBorders>
              <w:top w:val="single" w:sz="6" w:space="0" w:color="auto"/>
              <w:left w:val="single" w:sz="6" w:space="0" w:color="auto"/>
              <w:bottom w:val="single" w:sz="6" w:space="0" w:color="auto"/>
              <w:right w:val="single" w:sz="6" w:space="0" w:color="auto"/>
            </w:tcBorders>
          </w:tcPr>
          <w:p w14:paraId="2FB8F2B2"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89,460</w:t>
            </w:r>
          </w:p>
        </w:tc>
      </w:tr>
      <w:tr w:rsidR="006E111A" w:rsidRPr="00392E0D" w14:paraId="794A5A40" w14:textId="77777777" w:rsidTr="00EA5C26">
        <w:trPr>
          <w:trHeight w:val="287"/>
        </w:trPr>
        <w:tc>
          <w:tcPr>
            <w:tcW w:w="974" w:type="dxa"/>
            <w:tcBorders>
              <w:top w:val="single" w:sz="6" w:space="0" w:color="auto"/>
              <w:left w:val="single" w:sz="6" w:space="0" w:color="auto"/>
              <w:bottom w:val="single" w:sz="6" w:space="0" w:color="auto"/>
              <w:right w:val="single" w:sz="6" w:space="0" w:color="auto"/>
            </w:tcBorders>
          </w:tcPr>
          <w:p w14:paraId="62DEC8F8"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2009</w:t>
            </w:r>
          </w:p>
        </w:tc>
        <w:tc>
          <w:tcPr>
            <w:tcW w:w="1343" w:type="dxa"/>
            <w:tcBorders>
              <w:top w:val="single" w:sz="6" w:space="0" w:color="auto"/>
              <w:left w:val="single" w:sz="6" w:space="0" w:color="auto"/>
              <w:bottom w:val="single" w:sz="6" w:space="0" w:color="auto"/>
              <w:right w:val="single" w:sz="6" w:space="0" w:color="auto"/>
            </w:tcBorders>
          </w:tcPr>
          <w:p w14:paraId="17D0CDCE"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62,246</w:t>
            </w:r>
          </w:p>
        </w:tc>
        <w:tc>
          <w:tcPr>
            <w:tcW w:w="1343" w:type="dxa"/>
            <w:tcBorders>
              <w:top w:val="single" w:sz="6" w:space="0" w:color="auto"/>
              <w:left w:val="single" w:sz="6" w:space="0" w:color="auto"/>
              <w:bottom w:val="single" w:sz="6" w:space="0" w:color="auto"/>
              <w:right w:val="single" w:sz="6" w:space="0" w:color="auto"/>
            </w:tcBorders>
          </w:tcPr>
          <w:p w14:paraId="4074070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75.0</w:t>
            </w:r>
          </w:p>
        </w:tc>
        <w:tc>
          <w:tcPr>
            <w:tcW w:w="1344" w:type="dxa"/>
            <w:tcBorders>
              <w:top w:val="single" w:sz="6" w:space="0" w:color="auto"/>
              <w:left w:val="single" w:sz="6" w:space="0" w:color="auto"/>
              <w:bottom w:val="single" w:sz="6" w:space="0" w:color="auto"/>
              <w:right w:val="single" w:sz="6" w:space="0" w:color="auto"/>
            </w:tcBorders>
          </w:tcPr>
          <w:p w14:paraId="3E3EF51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13,103</w:t>
            </w:r>
          </w:p>
        </w:tc>
        <w:tc>
          <w:tcPr>
            <w:tcW w:w="1343" w:type="dxa"/>
            <w:tcBorders>
              <w:top w:val="single" w:sz="6" w:space="0" w:color="auto"/>
              <w:left w:val="single" w:sz="6" w:space="0" w:color="auto"/>
              <w:bottom w:val="single" w:sz="6" w:space="0" w:color="auto"/>
              <w:right w:val="single" w:sz="6" w:space="0" w:color="auto"/>
            </w:tcBorders>
          </w:tcPr>
          <w:p w14:paraId="104DEAE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15.8</w:t>
            </w:r>
          </w:p>
        </w:tc>
        <w:tc>
          <w:tcPr>
            <w:tcW w:w="1344" w:type="dxa"/>
            <w:tcBorders>
              <w:top w:val="single" w:sz="6" w:space="0" w:color="auto"/>
              <w:left w:val="single" w:sz="6" w:space="0" w:color="auto"/>
              <w:bottom w:val="single" w:sz="6" w:space="0" w:color="auto"/>
              <w:right w:val="single" w:sz="6" w:space="0" w:color="auto"/>
            </w:tcBorders>
          </w:tcPr>
          <w:p w14:paraId="183A189C"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7,599</w:t>
            </w:r>
          </w:p>
        </w:tc>
        <w:tc>
          <w:tcPr>
            <w:tcW w:w="1343" w:type="dxa"/>
            <w:tcBorders>
              <w:top w:val="single" w:sz="6" w:space="0" w:color="auto"/>
              <w:left w:val="single" w:sz="6" w:space="0" w:color="auto"/>
              <w:bottom w:val="single" w:sz="6" w:space="0" w:color="auto"/>
              <w:right w:val="single" w:sz="6" w:space="0" w:color="auto"/>
            </w:tcBorders>
          </w:tcPr>
          <w:p w14:paraId="07CEC6FB"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9.2</w:t>
            </w:r>
          </w:p>
        </w:tc>
        <w:tc>
          <w:tcPr>
            <w:tcW w:w="1344" w:type="dxa"/>
            <w:tcBorders>
              <w:top w:val="single" w:sz="6" w:space="0" w:color="auto"/>
              <w:left w:val="single" w:sz="6" w:space="0" w:color="auto"/>
              <w:bottom w:val="single" w:sz="6" w:space="0" w:color="auto"/>
              <w:right w:val="single" w:sz="6" w:space="0" w:color="auto"/>
            </w:tcBorders>
          </w:tcPr>
          <w:p w14:paraId="22B44867" w14:textId="77777777" w:rsidR="006E111A" w:rsidRPr="00392E0D" w:rsidRDefault="006E111A" w:rsidP="006E111A">
            <w:pPr>
              <w:widowControl/>
              <w:adjustRightInd w:val="0"/>
              <w:spacing w:before="60" w:after="60"/>
              <w:jc w:val="center"/>
              <w:rPr>
                <w:rFonts w:ascii="Arial" w:eastAsiaTheme="minorHAnsi" w:hAnsi="Arial" w:cs="Arial"/>
                <w:color w:val="000000"/>
                <w:sz w:val="20"/>
                <w:szCs w:val="17"/>
                <w:lang w:val="en-AU"/>
              </w:rPr>
            </w:pPr>
            <w:r w:rsidRPr="00392E0D">
              <w:rPr>
                <w:rFonts w:ascii="Arial" w:eastAsiaTheme="minorHAnsi" w:hAnsi="Arial" w:cs="Arial"/>
                <w:color w:val="000000"/>
                <w:sz w:val="20"/>
                <w:szCs w:val="17"/>
                <w:lang w:val="en-AU"/>
              </w:rPr>
              <w:t>82,948</w:t>
            </w:r>
          </w:p>
        </w:tc>
      </w:tr>
    </w:tbl>
    <w:p w14:paraId="05E84FE2" w14:textId="0CDB51CD" w:rsidR="00C81D69" w:rsidRPr="00392E0D" w:rsidRDefault="00C81D69" w:rsidP="006E111A">
      <w:pPr>
        <w:pStyle w:val="Body"/>
        <w:spacing w:before="60" w:after="60" w:line="240" w:lineRule="auto"/>
        <w:rPr>
          <w:rFonts w:cs="Arial"/>
          <w:sz w:val="20"/>
        </w:rPr>
      </w:pPr>
    </w:p>
    <w:p w14:paraId="54DDE1B7" w14:textId="77777777" w:rsidR="00C81D69" w:rsidRPr="00392E0D" w:rsidRDefault="00C81D69">
      <w:pPr>
        <w:widowControl/>
        <w:autoSpaceDE/>
        <w:autoSpaceDN/>
        <w:rPr>
          <w:rFonts w:ascii="Arial" w:eastAsia="Times New Roman" w:hAnsi="Arial" w:cs="Arial"/>
          <w:sz w:val="20"/>
          <w:szCs w:val="20"/>
        </w:rPr>
      </w:pPr>
      <w:r w:rsidRPr="00392E0D">
        <w:rPr>
          <w:rFonts w:ascii="Arial" w:hAnsi="Arial" w:cs="Arial"/>
          <w:sz w:val="20"/>
        </w:rPr>
        <w:br w:type="page"/>
      </w:r>
    </w:p>
    <w:p w14:paraId="10830173" w14:textId="45725CEB" w:rsidR="007E2E35" w:rsidRPr="00392E0D" w:rsidRDefault="00C81D69" w:rsidP="00C81D69">
      <w:pPr>
        <w:pStyle w:val="Heading2"/>
        <w:rPr>
          <w:rFonts w:cs="Arial"/>
        </w:rPr>
      </w:pPr>
      <w:r w:rsidRPr="00392E0D">
        <w:rPr>
          <w:rFonts w:cs="Arial"/>
        </w:rPr>
        <w:lastRenderedPageBreak/>
        <w:t>Victoria trends</w:t>
      </w:r>
    </w:p>
    <w:p w14:paraId="4128E78F" w14:textId="0E6744E8" w:rsidR="00955C61" w:rsidRPr="00392E0D" w:rsidRDefault="00955C61" w:rsidP="008B5AA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56</w:t>
      </w:r>
      <w:r w:rsidRPr="00392E0D">
        <w:rPr>
          <w:rFonts w:cs="Arial"/>
        </w:rPr>
        <w:fldChar w:fldCharType="end"/>
      </w:r>
      <w:r w:rsidRPr="00392E0D">
        <w:rPr>
          <w:rFonts w:cs="Arial"/>
        </w:rPr>
        <w:tab/>
      </w:r>
      <w:r w:rsidRPr="00392E0D">
        <w:rPr>
          <w:rFonts w:eastAsiaTheme="minorHAnsi" w:cs="Arial"/>
          <w:lang w:val="en-AU"/>
        </w:rPr>
        <w:t>Victoria trends (2009 – 2021) – Developmentally vulnerable on one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8B5AA3" w:rsidRPr="00392E0D" w14:paraId="4B06CB84" w14:textId="77777777" w:rsidTr="008872DA">
        <w:trPr>
          <w:trHeight w:val="287"/>
          <w:tblHeader/>
        </w:trPr>
        <w:tc>
          <w:tcPr>
            <w:tcW w:w="974" w:type="dxa"/>
            <w:tcBorders>
              <w:top w:val="single" w:sz="6" w:space="0" w:color="auto"/>
              <w:left w:val="single" w:sz="6" w:space="0" w:color="auto"/>
              <w:bottom w:val="single" w:sz="6" w:space="0" w:color="auto"/>
              <w:right w:val="single" w:sz="6" w:space="0" w:color="auto"/>
            </w:tcBorders>
          </w:tcPr>
          <w:p w14:paraId="3D0F668A" w14:textId="77777777" w:rsidR="008B5AA3" w:rsidRPr="00392E0D" w:rsidRDefault="008B5AA3" w:rsidP="008B5AA3">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tcPr>
          <w:p w14:paraId="12DD8CAF" w14:textId="4FD89C5B" w:rsidR="008B5AA3"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tcPr>
          <w:p w14:paraId="586AD32A" w14:textId="3EB052F2" w:rsidR="008B5AA3" w:rsidRPr="00392E0D" w:rsidRDefault="00513B7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tcPr>
          <w:p w14:paraId="1533D7F0" w14:textId="606D2F21" w:rsidR="008B5AA3"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8B5AA3" w:rsidRPr="00392E0D" w14:paraId="05777B57"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5EBA5D45"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2E99037F"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13,777</w:t>
            </w:r>
          </w:p>
        </w:tc>
        <w:tc>
          <w:tcPr>
            <w:tcW w:w="974" w:type="dxa"/>
            <w:tcBorders>
              <w:top w:val="single" w:sz="6" w:space="0" w:color="auto"/>
              <w:left w:val="single" w:sz="6" w:space="0" w:color="auto"/>
              <w:bottom w:val="single" w:sz="6" w:space="0" w:color="auto"/>
              <w:right w:val="single" w:sz="6" w:space="0" w:color="auto"/>
            </w:tcBorders>
          </w:tcPr>
          <w:p w14:paraId="3F27FA66"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19.9</w:t>
            </w:r>
          </w:p>
        </w:tc>
        <w:tc>
          <w:tcPr>
            <w:tcW w:w="975" w:type="dxa"/>
            <w:tcBorders>
              <w:top w:val="single" w:sz="6" w:space="0" w:color="auto"/>
              <w:left w:val="single" w:sz="6" w:space="0" w:color="auto"/>
              <w:bottom w:val="single" w:sz="6" w:space="0" w:color="auto"/>
              <w:right w:val="single" w:sz="6" w:space="0" w:color="auto"/>
            </w:tcBorders>
          </w:tcPr>
          <w:p w14:paraId="7BBDFE08"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69,068</w:t>
            </w:r>
          </w:p>
        </w:tc>
      </w:tr>
      <w:tr w:rsidR="008B5AA3" w:rsidRPr="00392E0D" w14:paraId="7FA9392E"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53C3693C"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0AA8F838"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14,232</w:t>
            </w:r>
          </w:p>
        </w:tc>
        <w:tc>
          <w:tcPr>
            <w:tcW w:w="974" w:type="dxa"/>
            <w:tcBorders>
              <w:top w:val="single" w:sz="6" w:space="0" w:color="auto"/>
              <w:left w:val="single" w:sz="6" w:space="0" w:color="auto"/>
              <w:bottom w:val="single" w:sz="6" w:space="0" w:color="auto"/>
              <w:right w:val="single" w:sz="6" w:space="0" w:color="auto"/>
            </w:tcBorders>
          </w:tcPr>
          <w:p w14:paraId="0F473285"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19.9</w:t>
            </w:r>
          </w:p>
        </w:tc>
        <w:tc>
          <w:tcPr>
            <w:tcW w:w="975" w:type="dxa"/>
            <w:tcBorders>
              <w:top w:val="single" w:sz="6" w:space="0" w:color="auto"/>
              <w:left w:val="single" w:sz="6" w:space="0" w:color="auto"/>
              <w:bottom w:val="single" w:sz="6" w:space="0" w:color="auto"/>
              <w:right w:val="single" w:sz="6" w:space="0" w:color="auto"/>
            </w:tcBorders>
          </w:tcPr>
          <w:p w14:paraId="3969D84E"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71,671</w:t>
            </w:r>
          </w:p>
        </w:tc>
      </w:tr>
      <w:tr w:rsidR="008B5AA3" w:rsidRPr="00392E0D" w14:paraId="39003A10"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1A03A2C2"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1887A87F"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13,465</w:t>
            </w:r>
          </w:p>
        </w:tc>
        <w:tc>
          <w:tcPr>
            <w:tcW w:w="974" w:type="dxa"/>
            <w:tcBorders>
              <w:top w:val="single" w:sz="6" w:space="0" w:color="auto"/>
              <w:left w:val="single" w:sz="6" w:space="0" w:color="auto"/>
              <w:bottom w:val="single" w:sz="6" w:space="0" w:color="auto"/>
              <w:right w:val="single" w:sz="6" w:space="0" w:color="auto"/>
            </w:tcBorders>
          </w:tcPr>
          <w:p w14:paraId="2757D692"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19.9</w:t>
            </w:r>
          </w:p>
        </w:tc>
        <w:tc>
          <w:tcPr>
            <w:tcW w:w="975" w:type="dxa"/>
            <w:tcBorders>
              <w:top w:val="single" w:sz="6" w:space="0" w:color="auto"/>
              <w:left w:val="single" w:sz="6" w:space="0" w:color="auto"/>
              <w:bottom w:val="single" w:sz="6" w:space="0" w:color="auto"/>
              <w:right w:val="single" w:sz="6" w:space="0" w:color="auto"/>
            </w:tcBorders>
          </w:tcPr>
          <w:p w14:paraId="6FCF6EFC"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67,670</w:t>
            </w:r>
          </w:p>
        </w:tc>
      </w:tr>
      <w:tr w:rsidR="008B5AA3" w:rsidRPr="00392E0D" w14:paraId="2BA6590F"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58C04091"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6279E2D3"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12,407</w:t>
            </w:r>
          </w:p>
        </w:tc>
        <w:tc>
          <w:tcPr>
            <w:tcW w:w="974" w:type="dxa"/>
            <w:tcBorders>
              <w:top w:val="single" w:sz="6" w:space="0" w:color="auto"/>
              <w:left w:val="single" w:sz="6" w:space="0" w:color="auto"/>
              <w:bottom w:val="single" w:sz="6" w:space="0" w:color="auto"/>
              <w:right w:val="single" w:sz="6" w:space="0" w:color="auto"/>
            </w:tcBorders>
          </w:tcPr>
          <w:p w14:paraId="78FFA4EC"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19.5</w:t>
            </w:r>
          </w:p>
        </w:tc>
        <w:tc>
          <w:tcPr>
            <w:tcW w:w="975" w:type="dxa"/>
            <w:tcBorders>
              <w:top w:val="single" w:sz="6" w:space="0" w:color="auto"/>
              <w:left w:val="single" w:sz="6" w:space="0" w:color="auto"/>
              <w:bottom w:val="single" w:sz="6" w:space="0" w:color="auto"/>
              <w:right w:val="single" w:sz="6" w:space="0" w:color="auto"/>
            </w:tcBorders>
          </w:tcPr>
          <w:p w14:paraId="0266DDA3"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63,584</w:t>
            </w:r>
          </w:p>
        </w:tc>
      </w:tr>
      <w:tr w:rsidR="008B5AA3" w:rsidRPr="00392E0D" w14:paraId="45C8BD56"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27B34CF2"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249BB81B"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11,641</w:t>
            </w:r>
          </w:p>
        </w:tc>
        <w:tc>
          <w:tcPr>
            <w:tcW w:w="974" w:type="dxa"/>
            <w:tcBorders>
              <w:top w:val="single" w:sz="6" w:space="0" w:color="auto"/>
              <w:left w:val="single" w:sz="6" w:space="0" w:color="auto"/>
              <w:bottom w:val="single" w:sz="6" w:space="0" w:color="auto"/>
              <w:right w:val="single" w:sz="6" w:space="0" w:color="auto"/>
            </w:tcBorders>
          </w:tcPr>
          <w:p w14:paraId="04F2B5A2"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20.3</w:t>
            </w:r>
          </w:p>
        </w:tc>
        <w:tc>
          <w:tcPr>
            <w:tcW w:w="975" w:type="dxa"/>
            <w:tcBorders>
              <w:top w:val="single" w:sz="6" w:space="0" w:color="auto"/>
              <w:left w:val="single" w:sz="6" w:space="0" w:color="auto"/>
              <w:bottom w:val="single" w:sz="6" w:space="0" w:color="auto"/>
              <w:right w:val="single" w:sz="6" w:space="0" w:color="auto"/>
            </w:tcBorders>
          </w:tcPr>
          <w:p w14:paraId="6E2EC8D0"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57,277</w:t>
            </w:r>
          </w:p>
        </w:tc>
      </w:tr>
    </w:tbl>
    <w:p w14:paraId="0174F581" w14:textId="7341439F" w:rsidR="00955C61" w:rsidRPr="00392E0D" w:rsidRDefault="00955C61" w:rsidP="008B5AA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57</w:t>
      </w:r>
      <w:r w:rsidRPr="00392E0D">
        <w:rPr>
          <w:rFonts w:cs="Arial"/>
        </w:rPr>
        <w:fldChar w:fldCharType="end"/>
      </w:r>
      <w:r w:rsidRPr="00392E0D">
        <w:rPr>
          <w:rFonts w:cs="Arial"/>
        </w:rPr>
        <w:tab/>
      </w:r>
      <w:r w:rsidRPr="00392E0D">
        <w:rPr>
          <w:rFonts w:eastAsiaTheme="minorHAnsi" w:cs="Arial"/>
          <w:lang w:val="en-AU"/>
        </w:rPr>
        <w:t>Victoria trends (2009 – 2021) – Developmentally vulnerable on two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8B5AA3" w:rsidRPr="00392E0D" w14:paraId="23089A40" w14:textId="77777777" w:rsidTr="008872DA">
        <w:trPr>
          <w:trHeight w:val="287"/>
          <w:tblHeader/>
        </w:trPr>
        <w:tc>
          <w:tcPr>
            <w:tcW w:w="974" w:type="dxa"/>
            <w:tcBorders>
              <w:top w:val="single" w:sz="6" w:space="0" w:color="auto"/>
              <w:left w:val="single" w:sz="6" w:space="0" w:color="auto"/>
              <w:bottom w:val="single" w:sz="6" w:space="0" w:color="auto"/>
              <w:right w:val="single" w:sz="6" w:space="0" w:color="auto"/>
            </w:tcBorders>
          </w:tcPr>
          <w:p w14:paraId="18748A65" w14:textId="77777777" w:rsidR="008B5AA3" w:rsidRPr="00392E0D" w:rsidRDefault="008B5AA3" w:rsidP="00955C61">
            <w:pPr>
              <w:widowControl/>
              <w:adjustRightInd w:val="0"/>
              <w:spacing w:before="60" w:after="60"/>
              <w:jc w:val="right"/>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tcPr>
          <w:p w14:paraId="49EE0774" w14:textId="6535118A" w:rsidR="008B5AA3"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tcPr>
          <w:p w14:paraId="4BA0C0E9" w14:textId="5949A8C9" w:rsidR="008B5AA3" w:rsidRPr="00392E0D" w:rsidRDefault="00513B7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tcPr>
          <w:p w14:paraId="71158754" w14:textId="7AA1D51C" w:rsidR="008B5AA3"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8B5AA3" w:rsidRPr="00392E0D" w14:paraId="758E1FA3"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1C123E3A"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02E9FAA9"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7,085</w:t>
            </w:r>
          </w:p>
        </w:tc>
        <w:tc>
          <w:tcPr>
            <w:tcW w:w="974" w:type="dxa"/>
            <w:tcBorders>
              <w:top w:val="single" w:sz="6" w:space="0" w:color="auto"/>
              <w:left w:val="single" w:sz="6" w:space="0" w:color="auto"/>
              <w:bottom w:val="single" w:sz="6" w:space="0" w:color="auto"/>
              <w:right w:val="single" w:sz="6" w:space="0" w:color="auto"/>
            </w:tcBorders>
          </w:tcPr>
          <w:p w14:paraId="6541D2B9"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10.2</w:t>
            </w:r>
          </w:p>
        </w:tc>
        <w:tc>
          <w:tcPr>
            <w:tcW w:w="975" w:type="dxa"/>
            <w:tcBorders>
              <w:top w:val="single" w:sz="6" w:space="0" w:color="auto"/>
              <w:left w:val="single" w:sz="6" w:space="0" w:color="auto"/>
              <w:bottom w:val="single" w:sz="6" w:space="0" w:color="auto"/>
              <w:right w:val="single" w:sz="6" w:space="0" w:color="auto"/>
            </w:tcBorders>
          </w:tcPr>
          <w:p w14:paraId="293DFF4B"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69,217</w:t>
            </w:r>
          </w:p>
        </w:tc>
      </w:tr>
      <w:tr w:rsidR="008B5AA3" w:rsidRPr="00392E0D" w14:paraId="03A9597C"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6860A148"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5E1824BD"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7,231</w:t>
            </w:r>
          </w:p>
        </w:tc>
        <w:tc>
          <w:tcPr>
            <w:tcW w:w="974" w:type="dxa"/>
            <w:tcBorders>
              <w:top w:val="single" w:sz="6" w:space="0" w:color="auto"/>
              <w:left w:val="single" w:sz="6" w:space="0" w:color="auto"/>
              <w:bottom w:val="single" w:sz="6" w:space="0" w:color="auto"/>
              <w:right w:val="single" w:sz="6" w:space="0" w:color="auto"/>
            </w:tcBorders>
          </w:tcPr>
          <w:p w14:paraId="5F4661D7"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975" w:type="dxa"/>
            <w:tcBorders>
              <w:top w:val="single" w:sz="6" w:space="0" w:color="auto"/>
              <w:left w:val="single" w:sz="6" w:space="0" w:color="auto"/>
              <w:bottom w:val="single" w:sz="6" w:space="0" w:color="auto"/>
              <w:right w:val="single" w:sz="6" w:space="0" w:color="auto"/>
            </w:tcBorders>
          </w:tcPr>
          <w:p w14:paraId="2A2466A0"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71,828</w:t>
            </w:r>
          </w:p>
        </w:tc>
      </w:tr>
      <w:tr w:rsidR="008B5AA3" w:rsidRPr="00392E0D" w14:paraId="1B94BDAA"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12DAA5B1"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69134141"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6,707</w:t>
            </w:r>
          </w:p>
        </w:tc>
        <w:tc>
          <w:tcPr>
            <w:tcW w:w="974" w:type="dxa"/>
            <w:tcBorders>
              <w:top w:val="single" w:sz="6" w:space="0" w:color="auto"/>
              <w:left w:val="single" w:sz="6" w:space="0" w:color="auto"/>
              <w:bottom w:val="single" w:sz="6" w:space="0" w:color="auto"/>
              <w:right w:val="single" w:sz="6" w:space="0" w:color="auto"/>
            </w:tcBorders>
          </w:tcPr>
          <w:p w14:paraId="22BB3F2B"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975" w:type="dxa"/>
            <w:tcBorders>
              <w:top w:val="single" w:sz="6" w:space="0" w:color="auto"/>
              <w:left w:val="single" w:sz="6" w:space="0" w:color="auto"/>
              <w:bottom w:val="single" w:sz="6" w:space="0" w:color="auto"/>
              <w:right w:val="single" w:sz="6" w:space="0" w:color="auto"/>
            </w:tcBorders>
          </w:tcPr>
          <w:p w14:paraId="04732553"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67,812</w:t>
            </w:r>
          </w:p>
        </w:tc>
      </w:tr>
      <w:tr w:rsidR="008B5AA3" w:rsidRPr="00392E0D" w14:paraId="660440B4"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343CDEED"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1E40FE78"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6,053</w:t>
            </w:r>
          </w:p>
        </w:tc>
        <w:tc>
          <w:tcPr>
            <w:tcW w:w="974" w:type="dxa"/>
            <w:tcBorders>
              <w:top w:val="single" w:sz="6" w:space="0" w:color="auto"/>
              <w:left w:val="single" w:sz="6" w:space="0" w:color="auto"/>
              <w:bottom w:val="single" w:sz="6" w:space="0" w:color="auto"/>
              <w:right w:val="single" w:sz="6" w:space="0" w:color="auto"/>
            </w:tcBorders>
          </w:tcPr>
          <w:p w14:paraId="3E6F094D"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w:t>
            </w:r>
          </w:p>
        </w:tc>
        <w:tc>
          <w:tcPr>
            <w:tcW w:w="975" w:type="dxa"/>
            <w:tcBorders>
              <w:top w:val="single" w:sz="6" w:space="0" w:color="auto"/>
              <w:left w:val="single" w:sz="6" w:space="0" w:color="auto"/>
              <w:bottom w:val="single" w:sz="6" w:space="0" w:color="auto"/>
              <w:right w:val="single" w:sz="6" w:space="0" w:color="auto"/>
            </w:tcBorders>
          </w:tcPr>
          <w:p w14:paraId="44C4A24B"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63,889</w:t>
            </w:r>
          </w:p>
        </w:tc>
      </w:tr>
      <w:tr w:rsidR="008B5AA3" w:rsidRPr="00392E0D" w14:paraId="5CB89DB0" w14:textId="77777777" w:rsidTr="008B5AA3">
        <w:trPr>
          <w:trHeight w:val="296"/>
        </w:trPr>
        <w:tc>
          <w:tcPr>
            <w:tcW w:w="974" w:type="dxa"/>
            <w:tcBorders>
              <w:top w:val="single" w:sz="6" w:space="0" w:color="auto"/>
              <w:left w:val="single" w:sz="6" w:space="0" w:color="auto"/>
              <w:bottom w:val="single" w:sz="6" w:space="0" w:color="auto"/>
              <w:right w:val="single" w:sz="6" w:space="0" w:color="auto"/>
            </w:tcBorders>
          </w:tcPr>
          <w:p w14:paraId="4C33371F"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3D67228"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5,736</w:t>
            </w:r>
          </w:p>
        </w:tc>
        <w:tc>
          <w:tcPr>
            <w:tcW w:w="974" w:type="dxa"/>
            <w:tcBorders>
              <w:top w:val="single" w:sz="6" w:space="0" w:color="auto"/>
              <w:left w:val="single" w:sz="6" w:space="0" w:color="auto"/>
              <w:bottom w:val="single" w:sz="6" w:space="0" w:color="auto"/>
              <w:right w:val="single" w:sz="6" w:space="0" w:color="auto"/>
            </w:tcBorders>
          </w:tcPr>
          <w:p w14:paraId="34E656D4"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10.0</w:t>
            </w:r>
          </w:p>
        </w:tc>
        <w:tc>
          <w:tcPr>
            <w:tcW w:w="975" w:type="dxa"/>
            <w:tcBorders>
              <w:top w:val="single" w:sz="6" w:space="0" w:color="auto"/>
              <w:left w:val="single" w:sz="6" w:space="0" w:color="auto"/>
              <w:bottom w:val="single" w:sz="6" w:space="0" w:color="auto"/>
              <w:right w:val="single" w:sz="6" w:space="0" w:color="auto"/>
            </w:tcBorders>
          </w:tcPr>
          <w:p w14:paraId="039DC4E2"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57,420</w:t>
            </w:r>
          </w:p>
        </w:tc>
      </w:tr>
    </w:tbl>
    <w:p w14:paraId="0254E1D9" w14:textId="0378AB66" w:rsidR="00955C61" w:rsidRPr="00392E0D" w:rsidRDefault="008B5AA3" w:rsidP="008B5AA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58</w:t>
      </w:r>
      <w:r w:rsidRPr="00392E0D">
        <w:rPr>
          <w:rFonts w:cs="Arial"/>
        </w:rPr>
        <w:fldChar w:fldCharType="end"/>
      </w:r>
      <w:r w:rsidRPr="00392E0D">
        <w:rPr>
          <w:rFonts w:cs="Arial"/>
        </w:rPr>
        <w:tab/>
      </w:r>
      <w:r w:rsidR="00955C61" w:rsidRPr="00392E0D">
        <w:rPr>
          <w:rFonts w:eastAsiaTheme="minorHAnsi" w:cs="Arial"/>
          <w:lang w:val="en-AU"/>
        </w:rPr>
        <w:t>Victoria trends (2009 – 2021) – Developmentally on track on five domains</w:t>
      </w:r>
    </w:p>
    <w:tbl>
      <w:tblPr>
        <w:tblW w:w="0" w:type="auto"/>
        <w:tblInd w:w="-38" w:type="dxa"/>
        <w:tblLayout w:type="fixed"/>
        <w:tblLook w:val="0000" w:firstRow="0" w:lastRow="0" w:firstColumn="0" w:lastColumn="0" w:noHBand="0" w:noVBand="0"/>
      </w:tblPr>
      <w:tblGrid>
        <w:gridCol w:w="974"/>
        <w:gridCol w:w="975"/>
        <w:gridCol w:w="974"/>
        <w:gridCol w:w="975"/>
      </w:tblGrid>
      <w:tr w:rsidR="008B5AA3" w:rsidRPr="00392E0D" w14:paraId="6362422B" w14:textId="77777777" w:rsidTr="008872DA">
        <w:trPr>
          <w:trHeight w:val="287"/>
          <w:tblHeader/>
        </w:trPr>
        <w:tc>
          <w:tcPr>
            <w:tcW w:w="974" w:type="dxa"/>
            <w:tcBorders>
              <w:top w:val="single" w:sz="6" w:space="0" w:color="auto"/>
              <w:left w:val="single" w:sz="6" w:space="0" w:color="auto"/>
              <w:bottom w:val="single" w:sz="6" w:space="0" w:color="auto"/>
              <w:right w:val="single" w:sz="6" w:space="0" w:color="auto"/>
            </w:tcBorders>
          </w:tcPr>
          <w:p w14:paraId="4E93F5F3" w14:textId="77777777" w:rsidR="008B5AA3" w:rsidRPr="00392E0D" w:rsidRDefault="008B5AA3" w:rsidP="00955C61">
            <w:pPr>
              <w:widowControl/>
              <w:adjustRightInd w:val="0"/>
              <w:spacing w:before="60" w:after="60"/>
              <w:jc w:val="right"/>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tcPr>
          <w:p w14:paraId="1D4F4F4F" w14:textId="477B79C5" w:rsidR="008B5AA3"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tcPr>
          <w:p w14:paraId="06A24FFC" w14:textId="2E658A5F" w:rsidR="008B5AA3" w:rsidRPr="00392E0D" w:rsidRDefault="00513B7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tcPr>
          <w:p w14:paraId="1BE33890" w14:textId="2CC413DD" w:rsidR="008B5AA3"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8B5AA3" w:rsidRPr="00392E0D" w14:paraId="2ED1BDD1"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4B915AE4"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2258AC8E"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39,560</w:t>
            </w:r>
          </w:p>
        </w:tc>
        <w:tc>
          <w:tcPr>
            <w:tcW w:w="974" w:type="dxa"/>
            <w:tcBorders>
              <w:top w:val="single" w:sz="6" w:space="0" w:color="auto"/>
              <w:left w:val="single" w:sz="6" w:space="0" w:color="auto"/>
              <w:bottom w:val="single" w:sz="6" w:space="0" w:color="auto"/>
              <w:right w:val="single" w:sz="6" w:space="0" w:color="auto"/>
            </w:tcBorders>
          </w:tcPr>
          <w:p w14:paraId="3EE08141"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57.2</w:t>
            </w:r>
          </w:p>
        </w:tc>
        <w:tc>
          <w:tcPr>
            <w:tcW w:w="975" w:type="dxa"/>
            <w:tcBorders>
              <w:top w:val="single" w:sz="6" w:space="0" w:color="auto"/>
              <w:left w:val="single" w:sz="6" w:space="0" w:color="auto"/>
              <w:bottom w:val="single" w:sz="6" w:space="0" w:color="auto"/>
              <w:right w:val="single" w:sz="6" w:space="0" w:color="auto"/>
            </w:tcBorders>
          </w:tcPr>
          <w:p w14:paraId="45CB60E5"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69,152</w:t>
            </w:r>
          </w:p>
        </w:tc>
      </w:tr>
      <w:tr w:rsidR="008B5AA3" w:rsidRPr="00392E0D" w14:paraId="30651375"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3F6BBF43"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239539FE"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41,429</w:t>
            </w:r>
          </w:p>
        </w:tc>
        <w:tc>
          <w:tcPr>
            <w:tcW w:w="974" w:type="dxa"/>
            <w:tcBorders>
              <w:top w:val="single" w:sz="6" w:space="0" w:color="auto"/>
              <w:left w:val="single" w:sz="6" w:space="0" w:color="auto"/>
              <w:bottom w:val="single" w:sz="6" w:space="0" w:color="auto"/>
              <w:right w:val="single" w:sz="6" w:space="0" w:color="auto"/>
            </w:tcBorders>
          </w:tcPr>
          <w:p w14:paraId="2EDE9825"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57.7</w:t>
            </w:r>
          </w:p>
        </w:tc>
        <w:tc>
          <w:tcPr>
            <w:tcW w:w="975" w:type="dxa"/>
            <w:tcBorders>
              <w:top w:val="single" w:sz="6" w:space="0" w:color="auto"/>
              <w:left w:val="single" w:sz="6" w:space="0" w:color="auto"/>
              <w:bottom w:val="single" w:sz="6" w:space="0" w:color="auto"/>
              <w:right w:val="single" w:sz="6" w:space="0" w:color="auto"/>
            </w:tcBorders>
          </w:tcPr>
          <w:p w14:paraId="2C7F993C"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71,765</w:t>
            </w:r>
          </w:p>
        </w:tc>
      </w:tr>
      <w:tr w:rsidR="008B5AA3" w:rsidRPr="00392E0D" w14:paraId="554641C8"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30A82FDE"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3F41329D"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38,948</w:t>
            </w:r>
          </w:p>
        </w:tc>
        <w:tc>
          <w:tcPr>
            <w:tcW w:w="974" w:type="dxa"/>
            <w:tcBorders>
              <w:top w:val="single" w:sz="6" w:space="0" w:color="auto"/>
              <w:left w:val="single" w:sz="6" w:space="0" w:color="auto"/>
              <w:bottom w:val="single" w:sz="6" w:space="0" w:color="auto"/>
              <w:right w:val="single" w:sz="6" w:space="0" w:color="auto"/>
            </w:tcBorders>
          </w:tcPr>
          <w:p w14:paraId="433F7824"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57.5</w:t>
            </w:r>
          </w:p>
        </w:tc>
        <w:tc>
          <w:tcPr>
            <w:tcW w:w="975" w:type="dxa"/>
            <w:tcBorders>
              <w:top w:val="single" w:sz="6" w:space="0" w:color="auto"/>
              <w:left w:val="single" w:sz="6" w:space="0" w:color="auto"/>
              <w:bottom w:val="single" w:sz="6" w:space="0" w:color="auto"/>
              <w:right w:val="single" w:sz="6" w:space="0" w:color="auto"/>
            </w:tcBorders>
          </w:tcPr>
          <w:p w14:paraId="74F0E560"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67,769</w:t>
            </w:r>
          </w:p>
        </w:tc>
      </w:tr>
      <w:tr w:rsidR="008B5AA3" w:rsidRPr="00392E0D" w14:paraId="0176CAF6"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03568A40"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2A025EA4"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36,715</w:t>
            </w:r>
          </w:p>
        </w:tc>
        <w:tc>
          <w:tcPr>
            <w:tcW w:w="974" w:type="dxa"/>
            <w:tcBorders>
              <w:top w:val="single" w:sz="6" w:space="0" w:color="auto"/>
              <w:left w:val="single" w:sz="6" w:space="0" w:color="auto"/>
              <w:bottom w:val="single" w:sz="6" w:space="0" w:color="auto"/>
              <w:right w:val="single" w:sz="6" w:space="0" w:color="auto"/>
            </w:tcBorders>
          </w:tcPr>
          <w:p w14:paraId="37F5858E"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57.5</w:t>
            </w:r>
          </w:p>
        </w:tc>
        <w:tc>
          <w:tcPr>
            <w:tcW w:w="975" w:type="dxa"/>
            <w:tcBorders>
              <w:top w:val="single" w:sz="6" w:space="0" w:color="auto"/>
              <w:left w:val="single" w:sz="6" w:space="0" w:color="auto"/>
              <w:bottom w:val="single" w:sz="6" w:space="0" w:color="auto"/>
              <w:right w:val="single" w:sz="6" w:space="0" w:color="auto"/>
            </w:tcBorders>
          </w:tcPr>
          <w:p w14:paraId="61117977"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63,834</w:t>
            </w:r>
          </w:p>
        </w:tc>
      </w:tr>
      <w:tr w:rsidR="008B5AA3" w:rsidRPr="00392E0D" w14:paraId="43EBE271" w14:textId="77777777" w:rsidTr="008B5AA3">
        <w:trPr>
          <w:trHeight w:val="287"/>
        </w:trPr>
        <w:tc>
          <w:tcPr>
            <w:tcW w:w="974" w:type="dxa"/>
            <w:tcBorders>
              <w:top w:val="single" w:sz="6" w:space="0" w:color="auto"/>
              <w:left w:val="single" w:sz="6" w:space="0" w:color="auto"/>
              <w:bottom w:val="single" w:sz="6" w:space="0" w:color="auto"/>
              <w:right w:val="single" w:sz="6" w:space="0" w:color="auto"/>
            </w:tcBorders>
          </w:tcPr>
          <w:p w14:paraId="4554ED60" w14:textId="77777777" w:rsidR="008B5AA3" w:rsidRPr="00392E0D" w:rsidRDefault="008B5AA3"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6234395"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32,137</w:t>
            </w:r>
          </w:p>
        </w:tc>
        <w:tc>
          <w:tcPr>
            <w:tcW w:w="974" w:type="dxa"/>
            <w:tcBorders>
              <w:top w:val="single" w:sz="6" w:space="0" w:color="auto"/>
              <w:left w:val="single" w:sz="6" w:space="0" w:color="auto"/>
              <w:bottom w:val="single" w:sz="6" w:space="0" w:color="auto"/>
              <w:right w:val="single" w:sz="6" w:space="0" w:color="auto"/>
            </w:tcBorders>
          </w:tcPr>
          <w:p w14:paraId="71E489E9"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56.0</w:t>
            </w:r>
          </w:p>
        </w:tc>
        <w:tc>
          <w:tcPr>
            <w:tcW w:w="975" w:type="dxa"/>
            <w:tcBorders>
              <w:top w:val="single" w:sz="6" w:space="0" w:color="auto"/>
              <w:left w:val="single" w:sz="6" w:space="0" w:color="auto"/>
              <w:bottom w:val="single" w:sz="6" w:space="0" w:color="auto"/>
              <w:right w:val="single" w:sz="6" w:space="0" w:color="auto"/>
            </w:tcBorders>
          </w:tcPr>
          <w:p w14:paraId="678BA73A" w14:textId="77777777" w:rsidR="008B5AA3" w:rsidRPr="00392E0D" w:rsidRDefault="008B5AA3"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57,378</w:t>
            </w:r>
          </w:p>
        </w:tc>
      </w:tr>
    </w:tbl>
    <w:p w14:paraId="5F905211" w14:textId="67D4F45A" w:rsidR="00955C61" w:rsidRPr="00392E0D" w:rsidRDefault="008B5AA3" w:rsidP="008B5AA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59</w:t>
      </w:r>
      <w:r w:rsidRPr="00392E0D">
        <w:rPr>
          <w:rFonts w:cs="Arial"/>
        </w:rPr>
        <w:fldChar w:fldCharType="end"/>
      </w:r>
      <w:r w:rsidRPr="00392E0D">
        <w:rPr>
          <w:rFonts w:cs="Arial"/>
        </w:rPr>
        <w:tab/>
      </w:r>
      <w:r w:rsidR="00955C61" w:rsidRPr="00392E0D">
        <w:rPr>
          <w:rFonts w:eastAsiaTheme="minorHAnsi" w:cs="Arial"/>
          <w:lang w:val="en-AU"/>
        </w:rPr>
        <w:t>Victoria trends (2009 – 2021) – Physical health and wellbeing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955C61" w:rsidRPr="00392E0D" w14:paraId="798F1E7A"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tcPr>
          <w:p w14:paraId="14AA3B16"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61A96A58" w14:textId="1DD53B01"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3B61AA61" w14:textId="370D9A80"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2CD2211C" w14:textId="5F4D044C"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144CE8CB" w14:textId="38075335"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658B815F" w14:textId="5A9F1633"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33EEFA3F" w14:textId="033B533C"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72030977" w14:textId="60F95288" w:rsidR="00955C61"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955C61" w:rsidRPr="00392E0D" w14:paraId="7421158B" w14:textId="77777777" w:rsidTr="004347F2">
        <w:trPr>
          <w:trHeight w:val="311"/>
        </w:trPr>
        <w:tc>
          <w:tcPr>
            <w:tcW w:w="974" w:type="dxa"/>
            <w:tcBorders>
              <w:top w:val="single" w:sz="6" w:space="0" w:color="auto"/>
              <w:left w:val="single" w:sz="6" w:space="0" w:color="auto"/>
              <w:bottom w:val="single" w:sz="6" w:space="0" w:color="auto"/>
              <w:right w:val="single" w:sz="6" w:space="0" w:color="auto"/>
            </w:tcBorders>
          </w:tcPr>
          <w:p w14:paraId="02911F17"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14627712"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56,172</w:t>
            </w:r>
          </w:p>
        </w:tc>
        <w:tc>
          <w:tcPr>
            <w:tcW w:w="1343" w:type="dxa"/>
            <w:tcBorders>
              <w:top w:val="single" w:sz="6" w:space="0" w:color="auto"/>
              <w:left w:val="single" w:sz="6" w:space="0" w:color="auto"/>
              <w:bottom w:val="single" w:sz="6" w:space="0" w:color="auto"/>
              <w:right w:val="single" w:sz="6" w:space="0" w:color="auto"/>
            </w:tcBorders>
          </w:tcPr>
          <w:p w14:paraId="207EAC7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81.1</w:t>
            </w:r>
          </w:p>
        </w:tc>
        <w:tc>
          <w:tcPr>
            <w:tcW w:w="1344" w:type="dxa"/>
            <w:tcBorders>
              <w:top w:val="single" w:sz="6" w:space="0" w:color="auto"/>
              <w:left w:val="single" w:sz="6" w:space="0" w:color="auto"/>
              <w:bottom w:val="single" w:sz="6" w:space="0" w:color="auto"/>
              <w:right w:val="single" w:sz="6" w:space="0" w:color="auto"/>
            </w:tcBorders>
          </w:tcPr>
          <w:p w14:paraId="36ABCB58"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7,514</w:t>
            </w:r>
          </w:p>
        </w:tc>
        <w:tc>
          <w:tcPr>
            <w:tcW w:w="1343" w:type="dxa"/>
            <w:tcBorders>
              <w:top w:val="single" w:sz="6" w:space="0" w:color="auto"/>
              <w:left w:val="single" w:sz="6" w:space="0" w:color="auto"/>
              <w:bottom w:val="single" w:sz="6" w:space="0" w:color="auto"/>
              <w:right w:val="single" w:sz="6" w:space="0" w:color="auto"/>
            </w:tcBorders>
          </w:tcPr>
          <w:p w14:paraId="77A4AE94"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1344" w:type="dxa"/>
            <w:tcBorders>
              <w:top w:val="single" w:sz="6" w:space="0" w:color="auto"/>
              <w:left w:val="single" w:sz="6" w:space="0" w:color="auto"/>
              <w:bottom w:val="single" w:sz="6" w:space="0" w:color="auto"/>
              <w:right w:val="single" w:sz="6" w:space="0" w:color="auto"/>
            </w:tcBorders>
          </w:tcPr>
          <w:p w14:paraId="03CA6C24"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5,604</w:t>
            </w:r>
          </w:p>
        </w:tc>
        <w:tc>
          <w:tcPr>
            <w:tcW w:w="1343" w:type="dxa"/>
            <w:tcBorders>
              <w:top w:val="single" w:sz="6" w:space="0" w:color="auto"/>
              <w:left w:val="single" w:sz="6" w:space="0" w:color="auto"/>
              <w:bottom w:val="single" w:sz="6" w:space="0" w:color="auto"/>
              <w:right w:val="single" w:sz="6" w:space="0" w:color="auto"/>
            </w:tcBorders>
          </w:tcPr>
          <w:p w14:paraId="07A344A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w:t>
            </w:r>
          </w:p>
        </w:tc>
        <w:tc>
          <w:tcPr>
            <w:tcW w:w="1344" w:type="dxa"/>
            <w:tcBorders>
              <w:top w:val="single" w:sz="6" w:space="0" w:color="auto"/>
              <w:left w:val="single" w:sz="6" w:space="0" w:color="auto"/>
              <w:bottom w:val="single" w:sz="6" w:space="0" w:color="auto"/>
              <w:right w:val="single" w:sz="6" w:space="0" w:color="auto"/>
            </w:tcBorders>
          </w:tcPr>
          <w:p w14:paraId="1D8E38A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69,290</w:t>
            </w:r>
          </w:p>
        </w:tc>
      </w:tr>
      <w:tr w:rsidR="00955C61" w:rsidRPr="00392E0D" w14:paraId="01F715DB" w14:textId="77777777" w:rsidTr="004347F2">
        <w:trPr>
          <w:trHeight w:val="287"/>
        </w:trPr>
        <w:tc>
          <w:tcPr>
            <w:tcW w:w="974" w:type="dxa"/>
            <w:tcBorders>
              <w:top w:val="single" w:sz="6" w:space="0" w:color="auto"/>
              <w:left w:val="single" w:sz="6" w:space="0" w:color="auto"/>
              <w:bottom w:val="single" w:sz="6" w:space="0" w:color="auto"/>
              <w:right w:val="single" w:sz="6" w:space="0" w:color="auto"/>
            </w:tcBorders>
          </w:tcPr>
          <w:p w14:paraId="3444676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3F3F1E67"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58,221</w:t>
            </w:r>
          </w:p>
        </w:tc>
        <w:tc>
          <w:tcPr>
            <w:tcW w:w="1343" w:type="dxa"/>
            <w:tcBorders>
              <w:top w:val="single" w:sz="6" w:space="0" w:color="auto"/>
              <w:left w:val="single" w:sz="6" w:space="0" w:color="auto"/>
              <w:bottom w:val="single" w:sz="6" w:space="0" w:color="auto"/>
              <w:right w:val="single" w:sz="6" w:space="0" w:color="auto"/>
            </w:tcBorders>
          </w:tcPr>
          <w:p w14:paraId="737E1C4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81.0</w:t>
            </w:r>
          </w:p>
        </w:tc>
        <w:tc>
          <w:tcPr>
            <w:tcW w:w="1344" w:type="dxa"/>
            <w:tcBorders>
              <w:top w:val="single" w:sz="6" w:space="0" w:color="auto"/>
              <w:left w:val="single" w:sz="6" w:space="0" w:color="auto"/>
              <w:bottom w:val="single" w:sz="6" w:space="0" w:color="auto"/>
              <w:right w:val="single" w:sz="6" w:space="0" w:color="auto"/>
            </w:tcBorders>
          </w:tcPr>
          <w:p w14:paraId="4810895E"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7,767</w:t>
            </w:r>
          </w:p>
        </w:tc>
        <w:tc>
          <w:tcPr>
            <w:tcW w:w="1343" w:type="dxa"/>
            <w:tcBorders>
              <w:top w:val="single" w:sz="6" w:space="0" w:color="auto"/>
              <w:left w:val="single" w:sz="6" w:space="0" w:color="auto"/>
              <w:bottom w:val="single" w:sz="6" w:space="0" w:color="auto"/>
              <w:right w:val="single" w:sz="6" w:space="0" w:color="auto"/>
            </w:tcBorders>
          </w:tcPr>
          <w:p w14:paraId="3D72BB6F"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1344" w:type="dxa"/>
            <w:tcBorders>
              <w:top w:val="single" w:sz="6" w:space="0" w:color="auto"/>
              <w:left w:val="single" w:sz="6" w:space="0" w:color="auto"/>
              <w:bottom w:val="single" w:sz="6" w:space="0" w:color="auto"/>
              <w:right w:val="single" w:sz="6" w:space="0" w:color="auto"/>
            </w:tcBorders>
          </w:tcPr>
          <w:p w14:paraId="758D5475"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5,904</w:t>
            </w:r>
          </w:p>
        </w:tc>
        <w:tc>
          <w:tcPr>
            <w:tcW w:w="1343" w:type="dxa"/>
            <w:tcBorders>
              <w:top w:val="single" w:sz="6" w:space="0" w:color="auto"/>
              <w:left w:val="single" w:sz="6" w:space="0" w:color="auto"/>
              <w:bottom w:val="single" w:sz="6" w:space="0" w:color="auto"/>
              <w:right w:val="single" w:sz="6" w:space="0" w:color="auto"/>
            </w:tcBorders>
          </w:tcPr>
          <w:p w14:paraId="49EE031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w:t>
            </w:r>
          </w:p>
        </w:tc>
        <w:tc>
          <w:tcPr>
            <w:tcW w:w="1344" w:type="dxa"/>
            <w:tcBorders>
              <w:top w:val="single" w:sz="6" w:space="0" w:color="auto"/>
              <w:left w:val="single" w:sz="6" w:space="0" w:color="auto"/>
              <w:bottom w:val="single" w:sz="6" w:space="0" w:color="auto"/>
              <w:right w:val="single" w:sz="6" w:space="0" w:color="auto"/>
            </w:tcBorders>
          </w:tcPr>
          <w:p w14:paraId="4AFA5E0E"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71,892</w:t>
            </w:r>
          </w:p>
        </w:tc>
      </w:tr>
      <w:tr w:rsidR="00955C61" w:rsidRPr="00392E0D" w14:paraId="3A44A87B" w14:textId="77777777" w:rsidTr="004347F2">
        <w:trPr>
          <w:trHeight w:val="287"/>
        </w:trPr>
        <w:tc>
          <w:tcPr>
            <w:tcW w:w="974" w:type="dxa"/>
            <w:tcBorders>
              <w:top w:val="single" w:sz="6" w:space="0" w:color="auto"/>
              <w:left w:val="single" w:sz="6" w:space="0" w:color="auto"/>
              <w:bottom w:val="single" w:sz="6" w:space="0" w:color="auto"/>
              <w:right w:val="single" w:sz="6" w:space="0" w:color="auto"/>
            </w:tcBorders>
          </w:tcPr>
          <w:p w14:paraId="7F0E3311"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5ECA2271"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54,934</w:t>
            </w:r>
          </w:p>
        </w:tc>
        <w:tc>
          <w:tcPr>
            <w:tcW w:w="1343" w:type="dxa"/>
            <w:tcBorders>
              <w:top w:val="single" w:sz="6" w:space="0" w:color="auto"/>
              <w:left w:val="single" w:sz="6" w:space="0" w:color="auto"/>
              <w:bottom w:val="single" w:sz="6" w:space="0" w:color="auto"/>
              <w:right w:val="single" w:sz="6" w:space="0" w:color="auto"/>
            </w:tcBorders>
          </w:tcPr>
          <w:p w14:paraId="0B981EFF"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80.9</w:t>
            </w:r>
          </w:p>
        </w:tc>
        <w:tc>
          <w:tcPr>
            <w:tcW w:w="1344" w:type="dxa"/>
            <w:tcBorders>
              <w:top w:val="single" w:sz="6" w:space="0" w:color="auto"/>
              <w:left w:val="single" w:sz="6" w:space="0" w:color="auto"/>
              <w:bottom w:val="single" w:sz="6" w:space="0" w:color="auto"/>
              <w:right w:val="single" w:sz="6" w:space="0" w:color="auto"/>
            </w:tcBorders>
          </w:tcPr>
          <w:p w14:paraId="65E9DD39"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7,602</w:t>
            </w:r>
          </w:p>
        </w:tc>
        <w:tc>
          <w:tcPr>
            <w:tcW w:w="1343" w:type="dxa"/>
            <w:tcBorders>
              <w:top w:val="single" w:sz="6" w:space="0" w:color="auto"/>
              <w:left w:val="single" w:sz="6" w:space="0" w:color="auto"/>
              <w:bottom w:val="single" w:sz="6" w:space="0" w:color="auto"/>
              <w:right w:val="single" w:sz="6" w:space="0" w:color="auto"/>
            </w:tcBorders>
          </w:tcPr>
          <w:p w14:paraId="57D8C39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11.2</w:t>
            </w:r>
          </w:p>
        </w:tc>
        <w:tc>
          <w:tcPr>
            <w:tcW w:w="1344" w:type="dxa"/>
            <w:tcBorders>
              <w:top w:val="single" w:sz="6" w:space="0" w:color="auto"/>
              <w:left w:val="single" w:sz="6" w:space="0" w:color="auto"/>
              <w:bottom w:val="single" w:sz="6" w:space="0" w:color="auto"/>
              <w:right w:val="single" w:sz="6" w:space="0" w:color="auto"/>
            </w:tcBorders>
          </w:tcPr>
          <w:p w14:paraId="31D3BF8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5,335</w:t>
            </w:r>
          </w:p>
        </w:tc>
        <w:tc>
          <w:tcPr>
            <w:tcW w:w="1343" w:type="dxa"/>
            <w:tcBorders>
              <w:top w:val="single" w:sz="6" w:space="0" w:color="auto"/>
              <w:left w:val="single" w:sz="6" w:space="0" w:color="auto"/>
              <w:bottom w:val="single" w:sz="6" w:space="0" w:color="auto"/>
              <w:right w:val="single" w:sz="6" w:space="0" w:color="auto"/>
            </w:tcBorders>
          </w:tcPr>
          <w:p w14:paraId="2366C7A7"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w:t>
            </w:r>
          </w:p>
        </w:tc>
        <w:tc>
          <w:tcPr>
            <w:tcW w:w="1344" w:type="dxa"/>
            <w:tcBorders>
              <w:top w:val="single" w:sz="6" w:space="0" w:color="auto"/>
              <w:left w:val="single" w:sz="6" w:space="0" w:color="auto"/>
              <w:bottom w:val="single" w:sz="6" w:space="0" w:color="auto"/>
              <w:right w:val="single" w:sz="6" w:space="0" w:color="auto"/>
            </w:tcBorders>
          </w:tcPr>
          <w:p w14:paraId="39061AF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67,871</w:t>
            </w:r>
          </w:p>
        </w:tc>
      </w:tr>
      <w:tr w:rsidR="00955C61" w:rsidRPr="00392E0D" w14:paraId="026872F5" w14:textId="77777777" w:rsidTr="004347F2">
        <w:trPr>
          <w:trHeight w:val="287"/>
        </w:trPr>
        <w:tc>
          <w:tcPr>
            <w:tcW w:w="974" w:type="dxa"/>
            <w:tcBorders>
              <w:top w:val="single" w:sz="6" w:space="0" w:color="auto"/>
              <w:left w:val="single" w:sz="6" w:space="0" w:color="auto"/>
              <w:bottom w:val="single" w:sz="6" w:space="0" w:color="auto"/>
              <w:right w:val="single" w:sz="6" w:space="0" w:color="auto"/>
            </w:tcBorders>
          </w:tcPr>
          <w:p w14:paraId="7700461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608E685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51,985</w:t>
            </w:r>
          </w:p>
        </w:tc>
        <w:tc>
          <w:tcPr>
            <w:tcW w:w="1343" w:type="dxa"/>
            <w:tcBorders>
              <w:top w:val="single" w:sz="6" w:space="0" w:color="auto"/>
              <w:left w:val="single" w:sz="6" w:space="0" w:color="auto"/>
              <w:bottom w:val="single" w:sz="6" w:space="0" w:color="auto"/>
              <w:right w:val="single" w:sz="6" w:space="0" w:color="auto"/>
            </w:tcBorders>
          </w:tcPr>
          <w:p w14:paraId="5245355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81.1</w:t>
            </w:r>
          </w:p>
        </w:tc>
        <w:tc>
          <w:tcPr>
            <w:tcW w:w="1344" w:type="dxa"/>
            <w:tcBorders>
              <w:top w:val="single" w:sz="6" w:space="0" w:color="auto"/>
              <w:left w:val="single" w:sz="6" w:space="0" w:color="auto"/>
              <w:bottom w:val="single" w:sz="6" w:space="0" w:color="auto"/>
              <w:right w:val="single" w:sz="6" w:space="0" w:color="auto"/>
            </w:tcBorders>
          </w:tcPr>
          <w:p w14:paraId="441CD1E7"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7,111</w:t>
            </w:r>
          </w:p>
        </w:tc>
        <w:tc>
          <w:tcPr>
            <w:tcW w:w="1343" w:type="dxa"/>
            <w:tcBorders>
              <w:top w:val="single" w:sz="6" w:space="0" w:color="auto"/>
              <w:left w:val="single" w:sz="6" w:space="0" w:color="auto"/>
              <w:bottom w:val="single" w:sz="6" w:space="0" w:color="auto"/>
              <w:right w:val="single" w:sz="6" w:space="0" w:color="auto"/>
            </w:tcBorders>
          </w:tcPr>
          <w:p w14:paraId="20AD6FB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11.1</w:t>
            </w:r>
          </w:p>
        </w:tc>
        <w:tc>
          <w:tcPr>
            <w:tcW w:w="1344" w:type="dxa"/>
            <w:tcBorders>
              <w:top w:val="single" w:sz="6" w:space="0" w:color="auto"/>
              <w:left w:val="single" w:sz="6" w:space="0" w:color="auto"/>
              <w:bottom w:val="single" w:sz="6" w:space="0" w:color="auto"/>
              <w:right w:val="single" w:sz="6" w:space="0" w:color="auto"/>
            </w:tcBorders>
          </w:tcPr>
          <w:p w14:paraId="38A2E545"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4,965</w:t>
            </w:r>
          </w:p>
        </w:tc>
        <w:tc>
          <w:tcPr>
            <w:tcW w:w="1343" w:type="dxa"/>
            <w:tcBorders>
              <w:top w:val="single" w:sz="6" w:space="0" w:color="auto"/>
              <w:left w:val="single" w:sz="6" w:space="0" w:color="auto"/>
              <w:bottom w:val="single" w:sz="6" w:space="0" w:color="auto"/>
              <w:right w:val="single" w:sz="6" w:space="0" w:color="auto"/>
            </w:tcBorders>
          </w:tcPr>
          <w:p w14:paraId="5C42473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w:t>
            </w:r>
          </w:p>
        </w:tc>
        <w:tc>
          <w:tcPr>
            <w:tcW w:w="1344" w:type="dxa"/>
            <w:tcBorders>
              <w:top w:val="single" w:sz="6" w:space="0" w:color="auto"/>
              <w:left w:val="single" w:sz="6" w:space="0" w:color="auto"/>
              <w:bottom w:val="single" w:sz="6" w:space="0" w:color="auto"/>
              <w:right w:val="single" w:sz="6" w:space="0" w:color="auto"/>
            </w:tcBorders>
          </w:tcPr>
          <w:p w14:paraId="75B380F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64,061</w:t>
            </w:r>
          </w:p>
        </w:tc>
      </w:tr>
      <w:tr w:rsidR="00955C61" w:rsidRPr="00392E0D" w14:paraId="28C1922D" w14:textId="77777777" w:rsidTr="004347F2">
        <w:trPr>
          <w:trHeight w:val="287"/>
        </w:trPr>
        <w:tc>
          <w:tcPr>
            <w:tcW w:w="974" w:type="dxa"/>
            <w:tcBorders>
              <w:top w:val="single" w:sz="6" w:space="0" w:color="auto"/>
              <w:left w:val="single" w:sz="6" w:space="0" w:color="auto"/>
              <w:bottom w:val="single" w:sz="6" w:space="0" w:color="auto"/>
              <w:right w:val="single" w:sz="6" w:space="0" w:color="auto"/>
            </w:tcBorders>
          </w:tcPr>
          <w:p w14:paraId="7C0EDD05"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6141F59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46,371</w:t>
            </w:r>
          </w:p>
        </w:tc>
        <w:tc>
          <w:tcPr>
            <w:tcW w:w="1343" w:type="dxa"/>
            <w:tcBorders>
              <w:top w:val="single" w:sz="6" w:space="0" w:color="auto"/>
              <w:left w:val="single" w:sz="6" w:space="0" w:color="auto"/>
              <w:bottom w:val="single" w:sz="6" w:space="0" w:color="auto"/>
              <w:right w:val="single" w:sz="6" w:space="0" w:color="auto"/>
            </w:tcBorders>
          </w:tcPr>
          <w:p w14:paraId="3A786F10"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80.6</w:t>
            </w:r>
          </w:p>
        </w:tc>
        <w:tc>
          <w:tcPr>
            <w:tcW w:w="1344" w:type="dxa"/>
            <w:tcBorders>
              <w:top w:val="single" w:sz="6" w:space="0" w:color="auto"/>
              <w:left w:val="single" w:sz="6" w:space="0" w:color="auto"/>
              <w:bottom w:val="single" w:sz="6" w:space="0" w:color="auto"/>
              <w:right w:val="single" w:sz="6" w:space="0" w:color="auto"/>
            </w:tcBorders>
          </w:tcPr>
          <w:p w14:paraId="39498949"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6,725</w:t>
            </w:r>
          </w:p>
        </w:tc>
        <w:tc>
          <w:tcPr>
            <w:tcW w:w="1343" w:type="dxa"/>
            <w:tcBorders>
              <w:top w:val="single" w:sz="6" w:space="0" w:color="auto"/>
              <w:left w:val="single" w:sz="6" w:space="0" w:color="auto"/>
              <w:bottom w:val="single" w:sz="6" w:space="0" w:color="auto"/>
              <w:right w:val="single" w:sz="6" w:space="0" w:color="auto"/>
            </w:tcBorders>
          </w:tcPr>
          <w:p w14:paraId="55249281"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11.7</w:t>
            </w:r>
          </w:p>
        </w:tc>
        <w:tc>
          <w:tcPr>
            <w:tcW w:w="1344" w:type="dxa"/>
            <w:tcBorders>
              <w:top w:val="single" w:sz="6" w:space="0" w:color="auto"/>
              <w:left w:val="single" w:sz="6" w:space="0" w:color="auto"/>
              <w:bottom w:val="single" w:sz="6" w:space="0" w:color="auto"/>
              <w:right w:val="single" w:sz="6" w:space="0" w:color="auto"/>
            </w:tcBorders>
          </w:tcPr>
          <w:p w14:paraId="771548A9"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4,403</w:t>
            </w:r>
          </w:p>
        </w:tc>
        <w:tc>
          <w:tcPr>
            <w:tcW w:w="1343" w:type="dxa"/>
            <w:tcBorders>
              <w:top w:val="single" w:sz="6" w:space="0" w:color="auto"/>
              <w:left w:val="single" w:sz="6" w:space="0" w:color="auto"/>
              <w:bottom w:val="single" w:sz="6" w:space="0" w:color="auto"/>
              <w:right w:val="single" w:sz="6" w:space="0" w:color="auto"/>
            </w:tcBorders>
          </w:tcPr>
          <w:p w14:paraId="06916785"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w:t>
            </w:r>
          </w:p>
        </w:tc>
        <w:tc>
          <w:tcPr>
            <w:tcW w:w="1344" w:type="dxa"/>
            <w:tcBorders>
              <w:top w:val="single" w:sz="6" w:space="0" w:color="auto"/>
              <w:left w:val="single" w:sz="6" w:space="0" w:color="auto"/>
              <w:bottom w:val="single" w:sz="6" w:space="0" w:color="auto"/>
              <w:right w:val="single" w:sz="6" w:space="0" w:color="auto"/>
            </w:tcBorders>
          </w:tcPr>
          <w:p w14:paraId="133D10FE"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57,499</w:t>
            </w:r>
          </w:p>
        </w:tc>
      </w:tr>
    </w:tbl>
    <w:p w14:paraId="6D06ACF4" w14:textId="77777777" w:rsidR="0009344F" w:rsidRPr="00392E0D" w:rsidRDefault="0009344F">
      <w:pPr>
        <w:widowControl/>
        <w:autoSpaceDE/>
        <w:autoSpaceDN/>
        <w:rPr>
          <w:rFonts w:ascii="Arial" w:eastAsia="Times New Roman" w:hAnsi="Arial" w:cs="Arial"/>
          <w:color w:val="000000" w:themeColor="text1"/>
          <w:szCs w:val="18"/>
        </w:rPr>
      </w:pPr>
      <w:r w:rsidRPr="00392E0D">
        <w:rPr>
          <w:rFonts w:ascii="Arial" w:hAnsi="Arial" w:cs="Arial"/>
        </w:rPr>
        <w:br w:type="page"/>
      </w:r>
    </w:p>
    <w:p w14:paraId="6A1B3493" w14:textId="79EE0BC6" w:rsidR="00955C61" w:rsidRPr="00392E0D" w:rsidRDefault="008B5AA3" w:rsidP="008B5AA3">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60</w:t>
      </w:r>
      <w:r w:rsidRPr="00392E0D">
        <w:rPr>
          <w:rFonts w:cs="Arial"/>
        </w:rPr>
        <w:fldChar w:fldCharType="end"/>
      </w:r>
      <w:r w:rsidRPr="00392E0D">
        <w:rPr>
          <w:rFonts w:cs="Arial"/>
        </w:rPr>
        <w:tab/>
      </w:r>
      <w:r w:rsidR="00955C61" w:rsidRPr="00EA67C2">
        <w:rPr>
          <w:rFonts w:eastAsiaTheme="minorHAnsi" w:cs="Arial"/>
          <w:lang w:val="en-AU"/>
        </w:rPr>
        <w:t>Victoria trends (2009 – 2021) – Social Competence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09344F" w:rsidRPr="00392E0D" w14:paraId="50509E76"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tcPr>
          <w:p w14:paraId="5724DDB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3C5B2DB8" w14:textId="6CA10C88"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10F5BD12" w14:textId="0F8B74E7"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3E630B1E" w14:textId="35BC7DA4"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78AE64D9" w14:textId="21672157"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55FC8B3" w14:textId="437CB5E7"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56A35C35" w14:textId="1FE5446D"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54154DA5" w14:textId="48FF4A81" w:rsidR="00955C61"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EA67C2" w:rsidRPr="00392E0D" w14:paraId="78E0B2AC"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3FDC07CF"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77245C19" w14:textId="63FB2217"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53,882</w:t>
            </w:r>
          </w:p>
        </w:tc>
        <w:tc>
          <w:tcPr>
            <w:tcW w:w="1343" w:type="dxa"/>
            <w:tcBorders>
              <w:top w:val="single" w:sz="6" w:space="0" w:color="auto"/>
              <w:left w:val="single" w:sz="6" w:space="0" w:color="auto"/>
              <w:bottom w:val="single" w:sz="6" w:space="0" w:color="auto"/>
              <w:right w:val="single" w:sz="6" w:space="0" w:color="auto"/>
            </w:tcBorders>
          </w:tcPr>
          <w:p w14:paraId="48EE2B5C" w14:textId="2635A84C"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77.8</w:t>
            </w:r>
          </w:p>
        </w:tc>
        <w:tc>
          <w:tcPr>
            <w:tcW w:w="1344" w:type="dxa"/>
            <w:tcBorders>
              <w:top w:val="single" w:sz="6" w:space="0" w:color="auto"/>
              <w:left w:val="single" w:sz="6" w:space="0" w:color="auto"/>
              <w:bottom w:val="single" w:sz="6" w:space="0" w:color="auto"/>
              <w:right w:val="single" w:sz="6" w:space="0" w:color="auto"/>
            </w:tcBorders>
          </w:tcPr>
          <w:p w14:paraId="7402410F" w14:textId="7E5A3E85"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9,148</w:t>
            </w:r>
          </w:p>
        </w:tc>
        <w:tc>
          <w:tcPr>
            <w:tcW w:w="1343" w:type="dxa"/>
            <w:tcBorders>
              <w:top w:val="single" w:sz="6" w:space="0" w:color="auto"/>
              <w:left w:val="single" w:sz="6" w:space="0" w:color="auto"/>
              <w:bottom w:val="single" w:sz="6" w:space="0" w:color="auto"/>
              <w:right w:val="single" w:sz="6" w:space="0" w:color="auto"/>
            </w:tcBorders>
          </w:tcPr>
          <w:p w14:paraId="1586D815" w14:textId="6DEF7C60"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13.2</w:t>
            </w:r>
          </w:p>
        </w:tc>
        <w:tc>
          <w:tcPr>
            <w:tcW w:w="1344" w:type="dxa"/>
            <w:tcBorders>
              <w:top w:val="single" w:sz="6" w:space="0" w:color="auto"/>
              <w:left w:val="single" w:sz="6" w:space="0" w:color="auto"/>
              <w:bottom w:val="single" w:sz="6" w:space="0" w:color="auto"/>
              <w:right w:val="single" w:sz="6" w:space="0" w:color="auto"/>
            </w:tcBorders>
          </w:tcPr>
          <w:p w14:paraId="711C6C60" w14:textId="24A2EE1F"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6,253</w:t>
            </w:r>
          </w:p>
        </w:tc>
        <w:tc>
          <w:tcPr>
            <w:tcW w:w="1343" w:type="dxa"/>
            <w:tcBorders>
              <w:top w:val="single" w:sz="6" w:space="0" w:color="auto"/>
              <w:left w:val="single" w:sz="6" w:space="0" w:color="auto"/>
              <w:bottom w:val="single" w:sz="6" w:space="0" w:color="auto"/>
              <w:right w:val="single" w:sz="6" w:space="0" w:color="auto"/>
            </w:tcBorders>
          </w:tcPr>
          <w:p w14:paraId="6A769B67" w14:textId="24AD08E0"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9.0</w:t>
            </w:r>
          </w:p>
        </w:tc>
        <w:tc>
          <w:tcPr>
            <w:tcW w:w="1344" w:type="dxa"/>
            <w:tcBorders>
              <w:top w:val="single" w:sz="6" w:space="0" w:color="auto"/>
              <w:left w:val="single" w:sz="6" w:space="0" w:color="auto"/>
              <w:bottom w:val="single" w:sz="6" w:space="0" w:color="auto"/>
              <w:right w:val="single" w:sz="6" w:space="0" w:color="auto"/>
            </w:tcBorders>
          </w:tcPr>
          <w:p w14:paraId="6334BA6C" w14:textId="5EA338AA"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69,283</w:t>
            </w:r>
          </w:p>
        </w:tc>
      </w:tr>
      <w:tr w:rsidR="00EA67C2" w:rsidRPr="00392E0D" w14:paraId="375FC334"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5F3370D6"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537CA16D" w14:textId="40426E59"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55,597</w:t>
            </w:r>
          </w:p>
        </w:tc>
        <w:tc>
          <w:tcPr>
            <w:tcW w:w="1343" w:type="dxa"/>
            <w:tcBorders>
              <w:top w:val="single" w:sz="6" w:space="0" w:color="auto"/>
              <w:left w:val="single" w:sz="6" w:space="0" w:color="auto"/>
              <w:bottom w:val="single" w:sz="6" w:space="0" w:color="auto"/>
              <w:right w:val="single" w:sz="6" w:space="0" w:color="auto"/>
            </w:tcBorders>
          </w:tcPr>
          <w:p w14:paraId="6F49AAB6" w14:textId="66CAA687"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77.3</w:t>
            </w:r>
          </w:p>
        </w:tc>
        <w:tc>
          <w:tcPr>
            <w:tcW w:w="1344" w:type="dxa"/>
            <w:tcBorders>
              <w:top w:val="single" w:sz="6" w:space="0" w:color="auto"/>
              <w:left w:val="single" w:sz="6" w:space="0" w:color="auto"/>
              <w:bottom w:val="single" w:sz="6" w:space="0" w:color="auto"/>
              <w:right w:val="single" w:sz="6" w:space="0" w:color="auto"/>
            </w:tcBorders>
          </w:tcPr>
          <w:p w14:paraId="7826F955" w14:textId="0CCC5325"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9,974</w:t>
            </w:r>
          </w:p>
        </w:tc>
        <w:tc>
          <w:tcPr>
            <w:tcW w:w="1343" w:type="dxa"/>
            <w:tcBorders>
              <w:top w:val="single" w:sz="6" w:space="0" w:color="auto"/>
              <w:left w:val="single" w:sz="6" w:space="0" w:color="auto"/>
              <w:bottom w:val="single" w:sz="6" w:space="0" w:color="auto"/>
              <w:right w:val="single" w:sz="6" w:space="0" w:color="auto"/>
            </w:tcBorders>
          </w:tcPr>
          <w:p w14:paraId="0A381D68" w14:textId="79CF8D7F"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13.9</w:t>
            </w:r>
          </w:p>
        </w:tc>
        <w:tc>
          <w:tcPr>
            <w:tcW w:w="1344" w:type="dxa"/>
            <w:tcBorders>
              <w:top w:val="single" w:sz="6" w:space="0" w:color="auto"/>
              <w:left w:val="single" w:sz="6" w:space="0" w:color="auto"/>
              <w:bottom w:val="single" w:sz="6" w:space="0" w:color="auto"/>
              <w:right w:val="single" w:sz="6" w:space="0" w:color="auto"/>
            </w:tcBorders>
          </w:tcPr>
          <w:p w14:paraId="25CCC512" w14:textId="46803502"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6,331</w:t>
            </w:r>
          </w:p>
        </w:tc>
        <w:tc>
          <w:tcPr>
            <w:tcW w:w="1343" w:type="dxa"/>
            <w:tcBorders>
              <w:top w:val="single" w:sz="6" w:space="0" w:color="auto"/>
              <w:left w:val="single" w:sz="6" w:space="0" w:color="auto"/>
              <w:bottom w:val="single" w:sz="6" w:space="0" w:color="auto"/>
              <w:right w:val="single" w:sz="6" w:space="0" w:color="auto"/>
            </w:tcBorders>
          </w:tcPr>
          <w:p w14:paraId="3BB11669" w14:textId="6FDF1144"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8.8</w:t>
            </w:r>
          </w:p>
        </w:tc>
        <w:tc>
          <w:tcPr>
            <w:tcW w:w="1344" w:type="dxa"/>
            <w:tcBorders>
              <w:top w:val="single" w:sz="6" w:space="0" w:color="auto"/>
              <w:left w:val="single" w:sz="6" w:space="0" w:color="auto"/>
              <w:bottom w:val="single" w:sz="6" w:space="0" w:color="auto"/>
              <w:right w:val="single" w:sz="6" w:space="0" w:color="auto"/>
            </w:tcBorders>
          </w:tcPr>
          <w:p w14:paraId="13B58FF1" w14:textId="181442F7"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71,902</w:t>
            </w:r>
          </w:p>
        </w:tc>
      </w:tr>
      <w:tr w:rsidR="00EA67C2" w:rsidRPr="00392E0D" w14:paraId="0DCB99EA"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6FD073A3"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2AF11493" w14:textId="79C49AD8"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52,378</w:t>
            </w:r>
          </w:p>
        </w:tc>
        <w:tc>
          <w:tcPr>
            <w:tcW w:w="1343" w:type="dxa"/>
            <w:tcBorders>
              <w:top w:val="single" w:sz="6" w:space="0" w:color="auto"/>
              <w:left w:val="single" w:sz="6" w:space="0" w:color="auto"/>
              <w:bottom w:val="single" w:sz="6" w:space="0" w:color="auto"/>
              <w:right w:val="single" w:sz="6" w:space="0" w:color="auto"/>
            </w:tcBorders>
          </w:tcPr>
          <w:p w14:paraId="7DAF15A7" w14:textId="5AA52AAF"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77.2</w:t>
            </w:r>
          </w:p>
        </w:tc>
        <w:tc>
          <w:tcPr>
            <w:tcW w:w="1344" w:type="dxa"/>
            <w:tcBorders>
              <w:top w:val="single" w:sz="6" w:space="0" w:color="auto"/>
              <w:left w:val="single" w:sz="6" w:space="0" w:color="auto"/>
              <w:bottom w:val="single" w:sz="6" w:space="0" w:color="auto"/>
              <w:right w:val="single" w:sz="6" w:space="0" w:color="auto"/>
            </w:tcBorders>
          </w:tcPr>
          <w:p w14:paraId="40DEA818" w14:textId="3AAA88D2"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9,548</w:t>
            </w:r>
          </w:p>
        </w:tc>
        <w:tc>
          <w:tcPr>
            <w:tcW w:w="1343" w:type="dxa"/>
            <w:tcBorders>
              <w:top w:val="single" w:sz="6" w:space="0" w:color="auto"/>
              <w:left w:val="single" w:sz="6" w:space="0" w:color="auto"/>
              <w:bottom w:val="single" w:sz="6" w:space="0" w:color="auto"/>
              <w:right w:val="single" w:sz="6" w:space="0" w:color="auto"/>
            </w:tcBorders>
          </w:tcPr>
          <w:p w14:paraId="38E38772" w14:textId="7D762C37"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14.1</w:t>
            </w:r>
          </w:p>
        </w:tc>
        <w:tc>
          <w:tcPr>
            <w:tcW w:w="1344" w:type="dxa"/>
            <w:tcBorders>
              <w:top w:val="single" w:sz="6" w:space="0" w:color="auto"/>
              <w:left w:val="single" w:sz="6" w:space="0" w:color="auto"/>
              <w:bottom w:val="single" w:sz="6" w:space="0" w:color="auto"/>
              <w:right w:val="single" w:sz="6" w:space="0" w:color="auto"/>
            </w:tcBorders>
          </w:tcPr>
          <w:p w14:paraId="0BCFFB61" w14:textId="2E1B8533"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5,934</w:t>
            </w:r>
          </w:p>
        </w:tc>
        <w:tc>
          <w:tcPr>
            <w:tcW w:w="1343" w:type="dxa"/>
            <w:tcBorders>
              <w:top w:val="single" w:sz="6" w:space="0" w:color="auto"/>
              <w:left w:val="single" w:sz="6" w:space="0" w:color="auto"/>
              <w:bottom w:val="single" w:sz="6" w:space="0" w:color="auto"/>
              <w:right w:val="single" w:sz="6" w:space="0" w:color="auto"/>
            </w:tcBorders>
          </w:tcPr>
          <w:p w14:paraId="44EB7F58" w14:textId="37FF6982"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8.7</w:t>
            </w:r>
          </w:p>
        </w:tc>
        <w:tc>
          <w:tcPr>
            <w:tcW w:w="1344" w:type="dxa"/>
            <w:tcBorders>
              <w:top w:val="single" w:sz="6" w:space="0" w:color="auto"/>
              <w:left w:val="single" w:sz="6" w:space="0" w:color="auto"/>
              <w:bottom w:val="single" w:sz="6" w:space="0" w:color="auto"/>
              <w:right w:val="single" w:sz="6" w:space="0" w:color="auto"/>
            </w:tcBorders>
          </w:tcPr>
          <w:p w14:paraId="19813B46" w14:textId="20277F1C"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67,860</w:t>
            </w:r>
          </w:p>
        </w:tc>
      </w:tr>
      <w:tr w:rsidR="00EA67C2" w:rsidRPr="00392E0D" w14:paraId="1863A326"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56DC634C"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5FDA4AC7" w14:textId="1EDDEE02"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50,226</w:t>
            </w:r>
          </w:p>
        </w:tc>
        <w:tc>
          <w:tcPr>
            <w:tcW w:w="1343" w:type="dxa"/>
            <w:tcBorders>
              <w:top w:val="single" w:sz="6" w:space="0" w:color="auto"/>
              <w:left w:val="single" w:sz="6" w:space="0" w:color="auto"/>
              <w:bottom w:val="single" w:sz="6" w:space="0" w:color="auto"/>
              <w:right w:val="single" w:sz="6" w:space="0" w:color="auto"/>
            </w:tcBorders>
          </w:tcPr>
          <w:p w14:paraId="54738AE9" w14:textId="066F9BC9"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78.6</w:t>
            </w:r>
          </w:p>
        </w:tc>
        <w:tc>
          <w:tcPr>
            <w:tcW w:w="1344" w:type="dxa"/>
            <w:tcBorders>
              <w:top w:val="single" w:sz="6" w:space="0" w:color="auto"/>
              <w:left w:val="single" w:sz="6" w:space="0" w:color="auto"/>
              <w:bottom w:val="single" w:sz="6" w:space="0" w:color="auto"/>
              <w:right w:val="single" w:sz="6" w:space="0" w:color="auto"/>
            </w:tcBorders>
          </w:tcPr>
          <w:p w14:paraId="6FA4E595" w14:textId="6F56BADF"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8,519</w:t>
            </w:r>
          </w:p>
        </w:tc>
        <w:tc>
          <w:tcPr>
            <w:tcW w:w="1343" w:type="dxa"/>
            <w:tcBorders>
              <w:top w:val="single" w:sz="6" w:space="0" w:color="auto"/>
              <w:left w:val="single" w:sz="6" w:space="0" w:color="auto"/>
              <w:bottom w:val="single" w:sz="6" w:space="0" w:color="auto"/>
              <w:right w:val="single" w:sz="6" w:space="0" w:color="auto"/>
            </w:tcBorders>
          </w:tcPr>
          <w:p w14:paraId="24087646" w14:textId="1601DDE2"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13.3</w:t>
            </w:r>
          </w:p>
        </w:tc>
        <w:tc>
          <w:tcPr>
            <w:tcW w:w="1344" w:type="dxa"/>
            <w:tcBorders>
              <w:top w:val="single" w:sz="6" w:space="0" w:color="auto"/>
              <w:left w:val="single" w:sz="6" w:space="0" w:color="auto"/>
              <w:bottom w:val="single" w:sz="6" w:space="0" w:color="auto"/>
              <w:right w:val="single" w:sz="6" w:space="0" w:color="auto"/>
            </w:tcBorders>
          </w:tcPr>
          <w:p w14:paraId="73AE19B1" w14:textId="727A8BAC"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5,151</w:t>
            </w:r>
          </w:p>
        </w:tc>
        <w:tc>
          <w:tcPr>
            <w:tcW w:w="1343" w:type="dxa"/>
            <w:tcBorders>
              <w:top w:val="single" w:sz="6" w:space="0" w:color="auto"/>
              <w:left w:val="single" w:sz="6" w:space="0" w:color="auto"/>
              <w:bottom w:val="single" w:sz="6" w:space="0" w:color="auto"/>
              <w:right w:val="single" w:sz="6" w:space="0" w:color="auto"/>
            </w:tcBorders>
          </w:tcPr>
          <w:p w14:paraId="791C9954" w14:textId="47499BC6"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8.1</w:t>
            </w:r>
          </w:p>
        </w:tc>
        <w:tc>
          <w:tcPr>
            <w:tcW w:w="1344" w:type="dxa"/>
            <w:tcBorders>
              <w:top w:val="single" w:sz="6" w:space="0" w:color="auto"/>
              <w:left w:val="single" w:sz="6" w:space="0" w:color="auto"/>
              <w:bottom w:val="single" w:sz="6" w:space="0" w:color="auto"/>
              <w:right w:val="single" w:sz="6" w:space="0" w:color="auto"/>
            </w:tcBorders>
          </w:tcPr>
          <w:p w14:paraId="5933196F" w14:textId="3EA2BA98"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63,896</w:t>
            </w:r>
          </w:p>
        </w:tc>
      </w:tr>
      <w:tr w:rsidR="00EA67C2" w:rsidRPr="00392E0D" w14:paraId="42B7DFF1"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4176AAE4"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0086CE9D" w14:textId="54D7BC55"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44,610</w:t>
            </w:r>
          </w:p>
        </w:tc>
        <w:tc>
          <w:tcPr>
            <w:tcW w:w="1343" w:type="dxa"/>
            <w:tcBorders>
              <w:top w:val="single" w:sz="6" w:space="0" w:color="auto"/>
              <w:left w:val="single" w:sz="6" w:space="0" w:color="auto"/>
              <w:bottom w:val="single" w:sz="6" w:space="0" w:color="auto"/>
              <w:right w:val="single" w:sz="6" w:space="0" w:color="auto"/>
            </w:tcBorders>
          </w:tcPr>
          <w:p w14:paraId="4EB11215" w14:textId="67483A1E"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77.6</w:t>
            </w:r>
          </w:p>
        </w:tc>
        <w:tc>
          <w:tcPr>
            <w:tcW w:w="1344" w:type="dxa"/>
            <w:tcBorders>
              <w:top w:val="single" w:sz="6" w:space="0" w:color="auto"/>
              <w:left w:val="single" w:sz="6" w:space="0" w:color="auto"/>
              <w:bottom w:val="single" w:sz="6" w:space="0" w:color="auto"/>
              <w:right w:val="single" w:sz="6" w:space="0" w:color="auto"/>
            </w:tcBorders>
          </w:tcPr>
          <w:p w14:paraId="7A0FA08B" w14:textId="35FC1017"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8,052</w:t>
            </w:r>
          </w:p>
        </w:tc>
        <w:tc>
          <w:tcPr>
            <w:tcW w:w="1343" w:type="dxa"/>
            <w:tcBorders>
              <w:top w:val="single" w:sz="6" w:space="0" w:color="auto"/>
              <w:left w:val="single" w:sz="6" w:space="0" w:color="auto"/>
              <w:bottom w:val="single" w:sz="6" w:space="0" w:color="auto"/>
              <w:right w:val="single" w:sz="6" w:space="0" w:color="auto"/>
            </w:tcBorders>
          </w:tcPr>
          <w:p w14:paraId="448EF5E6" w14:textId="4331DC2B"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14.0</w:t>
            </w:r>
          </w:p>
        </w:tc>
        <w:tc>
          <w:tcPr>
            <w:tcW w:w="1344" w:type="dxa"/>
            <w:tcBorders>
              <w:top w:val="single" w:sz="6" w:space="0" w:color="auto"/>
              <w:left w:val="single" w:sz="6" w:space="0" w:color="auto"/>
              <w:bottom w:val="single" w:sz="6" w:space="0" w:color="auto"/>
              <w:right w:val="single" w:sz="6" w:space="0" w:color="auto"/>
            </w:tcBorders>
          </w:tcPr>
          <w:p w14:paraId="3B7C46B5" w14:textId="02EE85E4"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4,825</w:t>
            </w:r>
          </w:p>
        </w:tc>
        <w:tc>
          <w:tcPr>
            <w:tcW w:w="1343" w:type="dxa"/>
            <w:tcBorders>
              <w:top w:val="single" w:sz="6" w:space="0" w:color="auto"/>
              <w:left w:val="single" w:sz="6" w:space="0" w:color="auto"/>
              <w:bottom w:val="single" w:sz="6" w:space="0" w:color="auto"/>
              <w:right w:val="single" w:sz="6" w:space="0" w:color="auto"/>
            </w:tcBorders>
          </w:tcPr>
          <w:p w14:paraId="29B1528A" w14:textId="0E29306E"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8.4</w:t>
            </w:r>
          </w:p>
        </w:tc>
        <w:tc>
          <w:tcPr>
            <w:tcW w:w="1344" w:type="dxa"/>
            <w:tcBorders>
              <w:top w:val="single" w:sz="6" w:space="0" w:color="auto"/>
              <w:left w:val="single" w:sz="6" w:space="0" w:color="auto"/>
              <w:bottom w:val="single" w:sz="6" w:space="0" w:color="auto"/>
              <w:right w:val="single" w:sz="6" w:space="0" w:color="auto"/>
            </w:tcBorders>
          </w:tcPr>
          <w:p w14:paraId="12B8483C" w14:textId="228C2570"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sz w:val="20"/>
                <w:szCs w:val="20"/>
              </w:rPr>
              <w:t>57,487</w:t>
            </w:r>
          </w:p>
        </w:tc>
      </w:tr>
    </w:tbl>
    <w:p w14:paraId="3840FB61" w14:textId="794E4783" w:rsidR="00955C61" w:rsidRPr="00392E0D" w:rsidRDefault="008B5AA3" w:rsidP="008B5AA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61</w:t>
      </w:r>
      <w:r w:rsidRPr="00392E0D">
        <w:rPr>
          <w:rFonts w:cs="Arial"/>
        </w:rPr>
        <w:fldChar w:fldCharType="end"/>
      </w:r>
      <w:r w:rsidRPr="00392E0D">
        <w:rPr>
          <w:rFonts w:cs="Arial"/>
        </w:rPr>
        <w:tab/>
      </w:r>
      <w:r w:rsidR="00955C61" w:rsidRPr="00EA67C2">
        <w:rPr>
          <w:rFonts w:eastAsiaTheme="minorHAnsi" w:cs="Arial"/>
          <w:lang w:val="en-AU"/>
        </w:rPr>
        <w:t>Victoria trends (2009 – 2021) – Emotional Maturity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955C61" w:rsidRPr="00392E0D" w14:paraId="6428E025"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tcPr>
          <w:p w14:paraId="7EE5CA16"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5086AAD2" w14:textId="531EDA69"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59542BCE" w14:textId="65C93E98"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0D215ECC" w14:textId="0104783F"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543E6D3C" w14:textId="5B3F1CFA"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79F16851" w14:textId="158D3546"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3D3BDD3E" w14:textId="1C2B9267" w:rsidR="00955C61" w:rsidRPr="00392E0D" w:rsidRDefault="00ED2465"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3CA36A11" w14:textId="3F717C06" w:rsidR="00955C61"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EA67C2" w:rsidRPr="00392E0D" w14:paraId="09E20096" w14:textId="77777777" w:rsidTr="002608B0">
        <w:trPr>
          <w:trHeight w:val="287"/>
        </w:trPr>
        <w:tc>
          <w:tcPr>
            <w:tcW w:w="974" w:type="dxa"/>
            <w:tcBorders>
              <w:top w:val="single" w:sz="6" w:space="0" w:color="auto"/>
              <w:left w:val="single" w:sz="6" w:space="0" w:color="auto"/>
              <w:bottom w:val="single" w:sz="6" w:space="0" w:color="auto"/>
              <w:right w:val="single" w:sz="6" w:space="0" w:color="auto"/>
            </w:tcBorders>
          </w:tcPr>
          <w:p w14:paraId="0F2BE0B5"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vAlign w:val="center"/>
          </w:tcPr>
          <w:p w14:paraId="21583D7F" w14:textId="7584618B"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54,112</w:t>
            </w:r>
          </w:p>
        </w:tc>
        <w:tc>
          <w:tcPr>
            <w:tcW w:w="1343" w:type="dxa"/>
            <w:tcBorders>
              <w:top w:val="single" w:sz="6" w:space="0" w:color="auto"/>
              <w:left w:val="single" w:sz="6" w:space="0" w:color="auto"/>
              <w:bottom w:val="single" w:sz="6" w:space="0" w:color="auto"/>
              <w:right w:val="single" w:sz="6" w:space="0" w:color="auto"/>
            </w:tcBorders>
            <w:vAlign w:val="center"/>
          </w:tcPr>
          <w:p w14:paraId="513BFE63" w14:textId="5771C012"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78.4</w:t>
            </w:r>
          </w:p>
        </w:tc>
        <w:tc>
          <w:tcPr>
            <w:tcW w:w="1344" w:type="dxa"/>
            <w:tcBorders>
              <w:top w:val="single" w:sz="6" w:space="0" w:color="auto"/>
              <w:left w:val="single" w:sz="6" w:space="0" w:color="auto"/>
              <w:bottom w:val="single" w:sz="6" w:space="0" w:color="auto"/>
              <w:right w:val="single" w:sz="6" w:space="0" w:color="auto"/>
            </w:tcBorders>
            <w:vAlign w:val="center"/>
          </w:tcPr>
          <w:p w14:paraId="059B0039" w14:textId="25368D45"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9,549</w:t>
            </w:r>
          </w:p>
        </w:tc>
        <w:tc>
          <w:tcPr>
            <w:tcW w:w="1343" w:type="dxa"/>
            <w:tcBorders>
              <w:top w:val="single" w:sz="6" w:space="0" w:color="auto"/>
              <w:left w:val="single" w:sz="6" w:space="0" w:color="auto"/>
              <w:bottom w:val="single" w:sz="6" w:space="0" w:color="auto"/>
              <w:right w:val="single" w:sz="6" w:space="0" w:color="auto"/>
            </w:tcBorders>
            <w:vAlign w:val="center"/>
          </w:tcPr>
          <w:p w14:paraId="26643F89" w14:textId="113462CA"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13.8</w:t>
            </w:r>
          </w:p>
        </w:tc>
        <w:tc>
          <w:tcPr>
            <w:tcW w:w="1344" w:type="dxa"/>
            <w:tcBorders>
              <w:top w:val="single" w:sz="6" w:space="0" w:color="auto"/>
              <w:left w:val="single" w:sz="6" w:space="0" w:color="auto"/>
              <w:bottom w:val="single" w:sz="6" w:space="0" w:color="auto"/>
              <w:right w:val="single" w:sz="6" w:space="0" w:color="auto"/>
            </w:tcBorders>
            <w:vAlign w:val="center"/>
          </w:tcPr>
          <w:p w14:paraId="6EE6206A" w14:textId="27820EAE"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5,342</w:t>
            </w:r>
          </w:p>
        </w:tc>
        <w:tc>
          <w:tcPr>
            <w:tcW w:w="1343" w:type="dxa"/>
            <w:tcBorders>
              <w:top w:val="single" w:sz="6" w:space="0" w:color="auto"/>
              <w:left w:val="single" w:sz="6" w:space="0" w:color="auto"/>
              <w:bottom w:val="single" w:sz="6" w:space="0" w:color="auto"/>
              <w:right w:val="single" w:sz="6" w:space="0" w:color="auto"/>
            </w:tcBorders>
            <w:vAlign w:val="center"/>
          </w:tcPr>
          <w:p w14:paraId="0D7684D0" w14:textId="3A49E19A"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7.7</w:t>
            </w:r>
          </w:p>
        </w:tc>
        <w:tc>
          <w:tcPr>
            <w:tcW w:w="1344" w:type="dxa"/>
            <w:tcBorders>
              <w:top w:val="single" w:sz="6" w:space="0" w:color="auto"/>
              <w:left w:val="single" w:sz="6" w:space="0" w:color="auto"/>
              <w:bottom w:val="single" w:sz="6" w:space="0" w:color="auto"/>
              <w:right w:val="single" w:sz="6" w:space="0" w:color="auto"/>
            </w:tcBorders>
            <w:vAlign w:val="center"/>
          </w:tcPr>
          <w:p w14:paraId="16D1CE3F" w14:textId="7B59691E"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69,003</w:t>
            </w:r>
          </w:p>
        </w:tc>
      </w:tr>
      <w:tr w:rsidR="00EA67C2" w:rsidRPr="00392E0D" w14:paraId="0E6B67C0" w14:textId="77777777" w:rsidTr="002608B0">
        <w:trPr>
          <w:trHeight w:val="287"/>
        </w:trPr>
        <w:tc>
          <w:tcPr>
            <w:tcW w:w="974" w:type="dxa"/>
            <w:tcBorders>
              <w:top w:val="single" w:sz="6" w:space="0" w:color="auto"/>
              <w:left w:val="single" w:sz="6" w:space="0" w:color="auto"/>
              <w:bottom w:val="single" w:sz="6" w:space="0" w:color="auto"/>
              <w:right w:val="single" w:sz="6" w:space="0" w:color="auto"/>
            </w:tcBorders>
          </w:tcPr>
          <w:p w14:paraId="3E3D28B9"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vAlign w:val="center"/>
          </w:tcPr>
          <w:p w14:paraId="4B501DD1" w14:textId="3C37C89B"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55,651</w:t>
            </w:r>
          </w:p>
        </w:tc>
        <w:tc>
          <w:tcPr>
            <w:tcW w:w="1343" w:type="dxa"/>
            <w:tcBorders>
              <w:top w:val="single" w:sz="6" w:space="0" w:color="auto"/>
              <w:left w:val="single" w:sz="6" w:space="0" w:color="auto"/>
              <w:bottom w:val="single" w:sz="6" w:space="0" w:color="auto"/>
              <w:right w:val="single" w:sz="6" w:space="0" w:color="auto"/>
            </w:tcBorders>
            <w:vAlign w:val="center"/>
          </w:tcPr>
          <w:p w14:paraId="5B94C83F" w14:textId="00B96E0F"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77.7</w:t>
            </w:r>
          </w:p>
        </w:tc>
        <w:tc>
          <w:tcPr>
            <w:tcW w:w="1344" w:type="dxa"/>
            <w:tcBorders>
              <w:top w:val="single" w:sz="6" w:space="0" w:color="auto"/>
              <w:left w:val="single" w:sz="6" w:space="0" w:color="auto"/>
              <w:bottom w:val="single" w:sz="6" w:space="0" w:color="auto"/>
              <w:right w:val="single" w:sz="6" w:space="0" w:color="auto"/>
            </w:tcBorders>
            <w:vAlign w:val="center"/>
          </w:tcPr>
          <w:p w14:paraId="75D2F33F" w14:textId="303B0A93"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10,167</w:t>
            </w:r>
          </w:p>
        </w:tc>
        <w:tc>
          <w:tcPr>
            <w:tcW w:w="1343" w:type="dxa"/>
            <w:tcBorders>
              <w:top w:val="single" w:sz="6" w:space="0" w:color="auto"/>
              <w:left w:val="single" w:sz="6" w:space="0" w:color="auto"/>
              <w:bottom w:val="single" w:sz="6" w:space="0" w:color="auto"/>
              <w:right w:val="single" w:sz="6" w:space="0" w:color="auto"/>
            </w:tcBorders>
            <w:vAlign w:val="center"/>
          </w:tcPr>
          <w:p w14:paraId="38CABA56" w14:textId="0E71B85F"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14.2</w:t>
            </w:r>
          </w:p>
        </w:tc>
        <w:tc>
          <w:tcPr>
            <w:tcW w:w="1344" w:type="dxa"/>
            <w:tcBorders>
              <w:top w:val="single" w:sz="6" w:space="0" w:color="auto"/>
              <w:left w:val="single" w:sz="6" w:space="0" w:color="auto"/>
              <w:bottom w:val="single" w:sz="6" w:space="0" w:color="auto"/>
              <w:right w:val="single" w:sz="6" w:space="0" w:color="auto"/>
            </w:tcBorders>
            <w:vAlign w:val="center"/>
          </w:tcPr>
          <w:p w14:paraId="545B5839" w14:textId="093AB3B4"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5,791</w:t>
            </w:r>
          </w:p>
        </w:tc>
        <w:tc>
          <w:tcPr>
            <w:tcW w:w="1343" w:type="dxa"/>
            <w:tcBorders>
              <w:top w:val="single" w:sz="6" w:space="0" w:color="auto"/>
              <w:left w:val="single" w:sz="6" w:space="0" w:color="auto"/>
              <w:bottom w:val="single" w:sz="6" w:space="0" w:color="auto"/>
              <w:right w:val="single" w:sz="6" w:space="0" w:color="auto"/>
            </w:tcBorders>
            <w:vAlign w:val="center"/>
          </w:tcPr>
          <w:p w14:paraId="4F545A86" w14:textId="001D8926"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8.1</w:t>
            </w:r>
          </w:p>
        </w:tc>
        <w:tc>
          <w:tcPr>
            <w:tcW w:w="1344" w:type="dxa"/>
            <w:tcBorders>
              <w:top w:val="single" w:sz="6" w:space="0" w:color="auto"/>
              <w:left w:val="single" w:sz="6" w:space="0" w:color="auto"/>
              <w:bottom w:val="single" w:sz="6" w:space="0" w:color="auto"/>
              <w:right w:val="single" w:sz="6" w:space="0" w:color="auto"/>
            </w:tcBorders>
            <w:vAlign w:val="center"/>
          </w:tcPr>
          <w:p w14:paraId="72219C05" w14:textId="496D0E92"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71,609</w:t>
            </w:r>
          </w:p>
        </w:tc>
      </w:tr>
      <w:tr w:rsidR="00EA67C2" w:rsidRPr="00392E0D" w14:paraId="7A754F9C" w14:textId="77777777" w:rsidTr="002608B0">
        <w:trPr>
          <w:trHeight w:val="287"/>
        </w:trPr>
        <w:tc>
          <w:tcPr>
            <w:tcW w:w="974" w:type="dxa"/>
            <w:tcBorders>
              <w:top w:val="single" w:sz="6" w:space="0" w:color="auto"/>
              <w:left w:val="single" w:sz="6" w:space="0" w:color="auto"/>
              <w:bottom w:val="single" w:sz="6" w:space="0" w:color="auto"/>
              <w:right w:val="single" w:sz="6" w:space="0" w:color="auto"/>
            </w:tcBorders>
          </w:tcPr>
          <w:p w14:paraId="4977F502"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vAlign w:val="center"/>
          </w:tcPr>
          <w:p w14:paraId="19FF39C7" w14:textId="3891D217"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52,392</w:t>
            </w:r>
          </w:p>
        </w:tc>
        <w:tc>
          <w:tcPr>
            <w:tcW w:w="1343" w:type="dxa"/>
            <w:tcBorders>
              <w:top w:val="single" w:sz="6" w:space="0" w:color="auto"/>
              <w:left w:val="single" w:sz="6" w:space="0" w:color="auto"/>
              <w:bottom w:val="single" w:sz="6" w:space="0" w:color="auto"/>
              <w:right w:val="single" w:sz="6" w:space="0" w:color="auto"/>
            </w:tcBorders>
            <w:vAlign w:val="center"/>
          </w:tcPr>
          <w:p w14:paraId="6F5837EB" w14:textId="1C87C590"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77.5</w:t>
            </w:r>
          </w:p>
        </w:tc>
        <w:tc>
          <w:tcPr>
            <w:tcW w:w="1344" w:type="dxa"/>
            <w:tcBorders>
              <w:top w:val="single" w:sz="6" w:space="0" w:color="auto"/>
              <w:left w:val="single" w:sz="6" w:space="0" w:color="auto"/>
              <w:bottom w:val="single" w:sz="6" w:space="0" w:color="auto"/>
              <w:right w:val="single" w:sz="6" w:space="0" w:color="auto"/>
            </w:tcBorders>
            <w:vAlign w:val="center"/>
          </w:tcPr>
          <w:p w14:paraId="26662E28" w14:textId="2BDA478E"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9,817</w:t>
            </w:r>
          </w:p>
        </w:tc>
        <w:tc>
          <w:tcPr>
            <w:tcW w:w="1343" w:type="dxa"/>
            <w:tcBorders>
              <w:top w:val="single" w:sz="6" w:space="0" w:color="auto"/>
              <w:left w:val="single" w:sz="6" w:space="0" w:color="auto"/>
              <w:bottom w:val="single" w:sz="6" w:space="0" w:color="auto"/>
              <w:right w:val="single" w:sz="6" w:space="0" w:color="auto"/>
            </w:tcBorders>
            <w:vAlign w:val="center"/>
          </w:tcPr>
          <w:p w14:paraId="39056AB5" w14:textId="13D1734F"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14.5</w:t>
            </w:r>
          </w:p>
        </w:tc>
        <w:tc>
          <w:tcPr>
            <w:tcW w:w="1344" w:type="dxa"/>
            <w:tcBorders>
              <w:top w:val="single" w:sz="6" w:space="0" w:color="auto"/>
              <w:left w:val="single" w:sz="6" w:space="0" w:color="auto"/>
              <w:bottom w:val="single" w:sz="6" w:space="0" w:color="auto"/>
              <w:right w:val="single" w:sz="6" w:space="0" w:color="auto"/>
            </w:tcBorders>
            <w:vAlign w:val="center"/>
          </w:tcPr>
          <w:p w14:paraId="1FDB61BF" w14:textId="179FE855"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5,408</w:t>
            </w:r>
          </w:p>
        </w:tc>
        <w:tc>
          <w:tcPr>
            <w:tcW w:w="1343" w:type="dxa"/>
            <w:tcBorders>
              <w:top w:val="single" w:sz="6" w:space="0" w:color="auto"/>
              <w:left w:val="single" w:sz="6" w:space="0" w:color="auto"/>
              <w:bottom w:val="single" w:sz="6" w:space="0" w:color="auto"/>
              <w:right w:val="single" w:sz="6" w:space="0" w:color="auto"/>
            </w:tcBorders>
            <w:vAlign w:val="center"/>
          </w:tcPr>
          <w:p w14:paraId="3E419482" w14:textId="6BA819EB"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8.0</w:t>
            </w:r>
          </w:p>
        </w:tc>
        <w:tc>
          <w:tcPr>
            <w:tcW w:w="1344" w:type="dxa"/>
            <w:tcBorders>
              <w:top w:val="single" w:sz="6" w:space="0" w:color="auto"/>
              <w:left w:val="single" w:sz="6" w:space="0" w:color="auto"/>
              <w:bottom w:val="single" w:sz="6" w:space="0" w:color="auto"/>
              <w:right w:val="single" w:sz="6" w:space="0" w:color="auto"/>
            </w:tcBorders>
            <w:vAlign w:val="center"/>
          </w:tcPr>
          <w:p w14:paraId="74EB1AF0" w14:textId="6BF0F8C5"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67,617</w:t>
            </w:r>
          </w:p>
        </w:tc>
      </w:tr>
      <w:tr w:rsidR="00EA67C2" w:rsidRPr="00392E0D" w14:paraId="61162821" w14:textId="77777777" w:rsidTr="002608B0">
        <w:trPr>
          <w:trHeight w:val="287"/>
        </w:trPr>
        <w:tc>
          <w:tcPr>
            <w:tcW w:w="974" w:type="dxa"/>
            <w:tcBorders>
              <w:top w:val="single" w:sz="6" w:space="0" w:color="auto"/>
              <w:left w:val="single" w:sz="6" w:space="0" w:color="auto"/>
              <w:bottom w:val="single" w:sz="6" w:space="0" w:color="auto"/>
              <w:right w:val="single" w:sz="6" w:space="0" w:color="auto"/>
            </w:tcBorders>
          </w:tcPr>
          <w:p w14:paraId="017C1F91"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vAlign w:val="center"/>
          </w:tcPr>
          <w:p w14:paraId="11D3B5F3" w14:textId="73EB36D5"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50,605</w:t>
            </w:r>
          </w:p>
        </w:tc>
        <w:tc>
          <w:tcPr>
            <w:tcW w:w="1343" w:type="dxa"/>
            <w:tcBorders>
              <w:top w:val="single" w:sz="6" w:space="0" w:color="auto"/>
              <w:left w:val="single" w:sz="6" w:space="0" w:color="auto"/>
              <w:bottom w:val="single" w:sz="6" w:space="0" w:color="auto"/>
              <w:right w:val="single" w:sz="6" w:space="0" w:color="auto"/>
            </w:tcBorders>
            <w:vAlign w:val="center"/>
          </w:tcPr>
          <w:p w14:paraId="01F7EE91" w14:textId="17722704"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79.3</w:t>
            </w:r>
          </w:p>
        </w:tc>
        <w:tc>
          <w:tcPr>
            <w:tcW w:w="1344" w:type="dxa"/>
            <w:tcBorders>
              <w:top w:val="single" w:sz="6" w:space="0" w:color="auto"/>
              <w:left w:val="single" w:sz="6" w:space="0" w:color="auto"/>
              <w:bottom w:val="single" w:sz="6" w:space="0" w:color="auto"/>
              <w:right w:val="single" w:sz="6" w:space="0" w:color="auto"/>
            </w:tcBorders>
            <w:vAlign w:val="center"/>
          </w:tcPr>
          <w:p w14:paraId="1F87F400" w14:textId="34872B4B"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8,604</w:t>
            </w:r>
          </w:p>
        </w:tc>
        <w:tc>
          <w:tcPr>
            <w:tcW w:w="1343" w:type="dxa"/>
            <w:tcBorders>
              <w:top w:val="single" w:sz="6" w:space="0" w:color="auto"/>
              <w:left w:val="single" w:sz="6" w:space="0" w:color="auto"/>
              <w:bottom w:val="single" w:sz="6" w:space="0" w:color="auto"/>
              <w:right w:val="single" w:sz="6" w:space="0" w:color="auto"/>
            </w:tcBorders>
            <w:vAlign w:val="center"/>
          </w:tcPr>
          <w:p w14:paraId="3DA8727D" w14:textId="21A4B7FD"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13.5</w:t>
            </w:r>
          </w:p>
        </w:tc>
        <w:tc>
          <w:tcPr>
            <w:tcW w:w="1344" w:type="dxa"/>
            <w:tcBorders>
              <w:top w:val="single" w:sz="6" w:space="0" w:color="auto"/>
              <w:left w:val="single" w:sz="6" w:space="0" w:color="auto"/>
              <w:bottom w:val="single" w:sz="6" w:space="0" w:color="auto"/>
              <w:right w:val="single" w:sz="6" w:space="0" w:color="auto"/>
            </w:tcBorders>
            <w:vAlign w:val="center"/>
          </w:tcPr>
          <w:p w14:paraId="023D0D61" w14:textId="112F5DA1"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4,566</w:t>
            </w:r>
          </w:p>
        </w:tc>
        <w:tc>
          <w:tcPr>
            <w:tcW w:w="1343" w:type="dxa"/>
            <w:tcBorders>
              <w:top w:val="single" w:sz="6" w:space="0" w:color="auto"/>
              <w:left w:val="single" w:sz="6" w:space="0" w:color="auto"/>
              <w:bottom w:val="single" w:sz="6" w:space="0" w:color="auto"/>
              <w:right w:val="single" w:sz="6" w:space="0" w:color="auto"/>
            </w:tcBorders>
            <w:vAlign w:val="center"/>
          </w:tcPr>
          <w:p w14:paraId="7B36E381" w14:textId="463972DC"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7.2</w:t>
            </w:r>
          </w:p>
        </w:tc>
        <w:tc>
          <w:tcPr>
            <w:tcW w:w="1344" w:type="dxa"/>
            <w:tcBorders>
              <w:top w:val="single" w:sz="6" w:space="0" w:color="auto"/>
              <w:left w:val="single" w:sz="6" w:space="0" w:color="auto"/>
              <w:bottom w:val="single" w:sz="6" w:space="0" w:color="auto"/>
              <w:right w:val="single" w:sz="6" w:space="0" w:color="auto"/>
            </w:tcBorders>
            <w:vAlign w:val="center"/>
          </w:tcPr>
          <w:p w14:paraId="03C2BE96" w14:textId="64EAF90D"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63,775</w:t>
            </w:r>
          </w:p>
        </w:tc>
      </w:tr>
      <w:tr w:rsidR="00EA67C2" w:rsidRPr="00392E0D" w14:paraId="220EBC6B" w14:textId="77777777" w:rsidTr="002608B0">
        <w:trPr>
          <w:trHeight w:val="287"/>
        </w:trPr>
        <w:tc>
          <w:tcPr>
            <w:tcW w:w="974" w:type="dxa"/>
            <w:tcBorders>
              <w:top w:val="single" w:sz="6" w:space="0" w:color="auto"/>
              <w:left w:val="single" w:sz="6" w:space="0" w:color="auto"/>
              <w:bottom w:val="single" w:sz="6" w:space="0" w:color="auto"/>
              <w:right w:val="single" w:sz="6" w:space="0" w:color="auto"/>
            </w:tcBorders>
          </w:tcPr>
          <w:p w14:paraId="2A0E5733" w14:textId="77777777" w:rsidR="00EA67C2" w:rsidRPr="00392E0D" w:rsidRDefault="00EA67C2" w:rsidP="00EA67C2">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vAlign w:val="center"/>
          </w:tcPr>
          <w:p w14:paraId="033417DF" w14:textId="1F42614E"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44,210</w:t>
            </w:r>
          </w:p>
        </w:tc>
        <w:tc>
          <w:tcPr>
            <w:tcW w:w="1343" w:type="dxa"/>
            <w:tcBorders>
              <w:top w:val="single" w:sz="6" w:space="0" w:color="auto"/>
              <w:left w:val="single" w:sz="6" w:space="0" w:color="auto"/>
              <w:bottom w:val="single" w:sz="6" w:space="0" w:color="auto"/>
              <w:right w:val="single" w:sz="6" w:space="0" w:color="auto"/>
            </w:tcBorders>
            <w:vAlign w:val="center"/>
          </w:tcPr>
          <w:p w14:paraId="00847F69" w14:textId="00DC160E"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77.3</w:t>
            </w:r>
          </w:p>
        </w:tc>
        <w:tc>
          <w:tcPr>
            <w:tcW w:w="1344" w:type="dxa"/>
            <w:tcBorders>
              <w:top w:val="single" w:sz="6" w:space="0" w:color="auto"/>
              <w:left w:val="single" w:sz="6" w:space="0" w:color="auto"/>
              <w:bottom w:val="single" w:sz="6" w:space="0" w:color="auto"/>
              <w:right w:val="single" w:sz="6" w:space="0" w:color="auto"/>
            </w:tcBorders>
            <w:vAlign w:val="center"/>
          </w:tcPr>
          <w:p w14:paraId="761897DD" w14:textId="319CCD1A"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8,278</w:t>
            </w:r>
          </w:p>
        </w:tc>
        <w:tc>
          <w:tcPr>
            <w:tcW w:w="1343" w:type="dxa"/>
            <w:tcBorders>
              <w:top w:val="single" w:sz="6" w:space="0" w:color="auto"/>
              <w:left w:val="single" w:sz="6" w:space="0" w:color="auto"/>
              <w:bottom w:val="single" w:sz="6" w:space="0" w:color="auto"/>
              <w:right w:val="single" w:sz="6" w:space="0" w:color="auto"/>
            </w:tcBorders>
            <w:vAlign w:val="center"/>
          </w:tcPr>
          <w:p w14:paraId="2886FD61" w14:textId="17AB025F"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14.5</w:t>
            </w:r>
          </w:p>
        </w:tc>
        <w:tc>
          <w:tcPr>
            <w:tcW w:w="1344" w:type="dxa"/>
            <w:tcBorders>
              <w:top w:val="single" w:sz="6" w:space="0" w:color="auto"/>
              <w:left w:val="single" w:sz="6" w:space="0" w:color="auto"/>
              <w:bottom w:val="single" w:sz="6" w:space="0" w:color="auto"/>
              <w:right w:val="single" w:sz="6" w:space="0" w:color="auto"/>
            </w:tcBorders>
            <w:vAlign w:val="center"/>
          </w:tcPr>
          <w:p w14:paraId="5DB341E3" w14:textId="4725C13A"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4,734</w:t>
            </w:r>
          </w:p>
        </w:tc>
        <w:tc>
          <w:tcPr>
            <w:tcW w:w="1343" w:type="dxa"/>
            <w:tcBorders>
              <w:top w:val="single" w:sz="6" w:space="0" w:color="auto"/>
              <w:left w:val="single" w:sz="6" w:space="0" w:color="auto"/>
              <w:bottom w:val="single" w:sz="6" w:space="0" w:color="auto"/>
              <w:right w:val="single" w:sz="6" w:space="0" w:color="auto"/>
            </w:tcBorders>
            <w:vAlign w:val="center"/>
          </w:tcPr>
          <w:p w14:paraId="40F37E87" w14:textId="62A5A487"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8.3</w:t>
            </w:r>
          </w:p>
        </w:tc>
        <w:tc>
          <w:tcPr>
            <w:tcW w:w="1344" w:type="dxa"/>
            <w:tcBorders>
              <w:top w:val="single" w:sz="6" w:space="0" w:color="auto"/>
              <w:left w:val="single" w:sz="6" w:space="0" w:color="auto"/>
              <w:bottom w:val="single" w:sz="6" w:space="0" w:color="auto"/>
              <w:right w:val="single" w:sz="6" w:space="0" w:color="auto"/>
            </w:tcBorders>
            <w:vAlign w:val="center"/>
          </w:tcPr>
          <w:p w14:paraId="5849CB72" w14:textId="79D3D1B1" w:rsidR="00EA67C2" w:rsidRPr="00EA67C2" w:rsidRDefault="00EA67C2" w:rsidP="00EA67C2">
            <w:pPr>
              <w:widowControl/>
              <w:adjustRightInd w:val="0"/>
              <w:spacing w:before="60" w:after="60"/>
              <w:jc w:val="center"/>
              <w:rPr>
                <w:rFonts w:ascii="Arial" w:eastAsiaTheme="minorHAnsi" w:hAnsi="Arial" w:cs="Arial"/>
                <w:color w:val="000000"/>
                <w:sz w:val="20"/>
                <w:szCs w:val="20"/>
                <w:lang w:val="en-AU"/>
              </w:rPr>
            </w:pPr>
            <w:r w:rsidRPr="00EA67C2">
              <w:rPr>
                <w:rFonts w:ascii="Arial" w:hAnsi="Arial" w:cs="Arial"/>
                <w:color w:val="000000"/>
                <w:sz w:val="20"/>
                <w:szCs w:val="20"/>
              </w:rPr>
              <w:t>57,222</w:t>
            </w:r>
          </w:p>
        </w:tc>
      </w:tr>
    </w:tbl>
    <w:p w14:paraId="0AA5D9A7" w14:textId="13231923" w:rsidR="00955C61" w:rsidRPr="00392E0D" w:rsidRDefault="008B5AA3" w:rsidP="008B5AA3">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62</w:t>
      </w:r>
      <w:r w:rsidRPr="00392E0D">
        <w:rPr>
          <w:rFonts w:cs="Arial"/>
        </w:rPr>
        <w:fldChar w:fldCharType="end"/>
      </w:r>
      <w:r w:rsidRPr="00392E0D">
        <w:rPr>
          <w:rFonts w:cs="Arial"/>
        </w:rPr>
        <w:tab/>
      </w:r>
      <w:r w:rsidR="00955C61" w:rsidRPr="00392E0D">
        <w:rPr>
          <w:rFonts w:eastAsiaTheme="minorHAnsi" w:cs="Arial"/>
          <w:lang w:val="en-AU"/>
        </w:rPr>
        <w:t>Victoria trends (2009 – 2021) – Language and cognitive skills (school-based)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955C61" w:rsidRPr="00392E0D" w14:paraId="5AB387D4"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tcPr>
          <w:p w14:paraId="12815FDA"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0846ED10" w14:textId="59D1CF16" w:rsidR="00955C61" w:rsidRPr="00392E0D" w:rsidRDefault="00ED2465" w:rsidP="00D6585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24014180" w14:textId="316A3CD0" w:rsidR="00955C61" w:rsidRPr="00392E0D" w:rsidRDefault="00ED2465" w:rsidP="00D6585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5F3A984D" w14:textId="7E4B9397" w:rsidR="00955C61" w:rsidRPr="00392E0D" w:rsidRDefault="00ED2465" w:rsidP="00D6585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65F1A2C7" w14:textId="6392EFE2" w:rsidR="00955C61" w:rsidRPr="00392E0D" w:rsidRDefault="00ED2465" w:rsidP="00D6585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01FEA036" w14:textId="66A51462" w:rsidR="00955C61" w:rsidRPr="00392E0D" w:rsidRDefault="00ED2465" w:rsidP="00D6585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2054EB05" w14:textId="6E061786" w:rsidR="00955C61" w:rsidRPr="00392E0D" w:rsidRDefault="00ED2465" w:rsidP="00D6585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955C61"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74C8E985" w14:textId="17635FC8" w:rsidR="00955C61" w:rsidRPr="00392E0D" w:rsidRDefault="009B7612" w:rsidP="00D6585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955C61" w:rsidRPr="00392E0D" w14:paraId="6D47A040"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346EBB3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1711EA3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57,203</w:t>
            </w:r>
          </w:p>
        </w:tc>
        <w:tc>
          <w:tcPr>
            <w:tcW w:w="1343" w:type="dxa"/>
            <w:tcBorders>
              <w:top w:val="single" w:sz="6" w:space="0" w:color="auto"/>
              <w:left w:val="single" w:sz="6" w:space="0" w:color="auto"/>
              <w:bottom w:val="single" w:sz="6" w:space="0" w:color="auto"/>
              <w:right w:val="single" w:sz="6" w:space="0" w:color="auto"/>
            </w:tcBorders>
          </w:tcPr>
          <w:p w14:paraId="25538F75"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82.6</w:t>
            </w:r>
          </w:p>
        </w:tc>
        <w:tc>
          <w:tcPr>
            <w:tcW w:w="1344" w:type="dxa"/>
            <w:tcBorders>
              <w:top w:val="single" w:sz="6" w:space="0" w:color="auto"/>
              <w:left w:val="single" w:sz="6" w:space="0" w:color="auto"/>
              <w:bottom w:val="single" w:sz="6" w:space="0" w:color="auto"/>
              <w:right w:val="single" w:sz="6" w:space="0" w:color="auto"/>
            </w:tcBorders>
          </w:tcPr>
          <w:p w14:paraId="11B353E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7,035</w:t>
            </w:r>
          </w:p>
        </w:tc>
        <w:tc>
          <w:tcPr>
            <w:tcW w:w="1343" w:type="dxa"/>
            <w:tcBorders>
              <w:top w:val="single" w:sz="6" w:space="0" w:color="auto"/>
              <w:left w:val="single" w:sz="6" w:space="0" w:color="auto"/>
              <w:bottom w:val="single" w:sz="6" w:space="0" w:color="auto"/>
              <w:right w:val="single" w:sz="6" w:space="0" w:color="auto"/>
            </w:tcBorders>
          </w:tcPr>
          <w:p w14:paraId="27A74519"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10.2</w:t>
            </w:r>
          </w:p>
        </w:tc>
        <w:tc>
          <w:tcPr>
            <w:tcW w:w="1344" w:type="dxa"/>
            <w:tcBorders>
              <w:top w:val="single" w:sz="6" w:space="0" w:color="auto"/>
              <w:left w:val="single" w:sz="6" w:space="0" w:color="auto"/>
              <w:bottom w:val="single" w:sz="6" w:space="0" w:color="auto"/>
              <w:right w:val="single" w:sz="6" w:space="0" w:color="auto"/>
            </w:tcBorders>
          </w:tcPr>
          <w:p w14:paraId="5712AB0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4,993</w:t>
            </w:r>
          </w:p>
        </w:tc>
        <w:tc>
          <w:tcPr>
            <w:tcW w:w="1343" w:type="dxa"/>
            <w:tcBorders>
              <w:top w:val="single" w:sz="6" w:space="0" w:color="auto"/>
              <w:left w:val="single" w:sz="6" w:space="0" w:color="auto"/>
              <w:bottom w:val="single" w:sz="6" w:space="0" w:color="auto"/>
              <w:right w:val="single" w:sz="6" w:space="0" w:color="auto"/>
            </w:tcBorders>
          </w:tcPr>
          <w:p w14:paraId="0238B278"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w:t>
            </w:r>
          </w:p>
        </w:tc>
        <w:tc>
          <w:tcPr>
            <w:tcW w:w="1344" w:type="dxa"/>
            <w:tcBorders>
              <w:top w:val="single" w:sz="6" w:space="0" w:color="auto"/>
              <w:left w:val="single" w:sz="6" w:space="0" w:color="auto"/>
              <w:bottom w:val="single" w:sz="6" w:space="0" w:color="auto"/>
              <w:right w:val="single" w:sz="6" w:space="0" w:color="auto"/>
            </w:tcBorders>
          </w:tcPr>
          <w:p w14:paraId="54236788"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69,231</w:t>
            </w:r>
          </w:p>
        </w:tc>
      </w:tr>
      <w:tr w:rsidR="00955C61" w:rsidRPr="00392E0D" w14:paraId="38A1046B"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6FDBB1E8"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5A44F875"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60,779</w:t>
            </w:r>
          </w:p>
        </w:tc>
        <w:tc>
          <w:tcPr>
            <w:tcW w:w="1343" w:type="dxa"/>
            <w:tcBorders>
              <w:top w:val="single" w:sz="6" w:space="0" w:color="auto"/>
              <w:left w:val="single" w:sz="6" w:space="0" w:color="auto"/>
              <w:bottom w:val="single" w:sz="6" w:space="0" w:color="auto"/>
              <w:right w:val="single" w:sz="6" w:space="0" w:color="auto"/>
            </w:tcBorders>
          </w:tcPr>
          <w:p w14:paraId="22FC7EFE"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84.6</w:t>
            </w:r>
          </w:p>
        </w:tc>
        <w:tc>
          <w:tcPr>
            <w:tcW w:w="1344" w:type="dxa"/>
            <w:tcBorders>
              <w:top w:val="single" w:sz="6" w:space="0" w:color="auto"/>
              <w:left w:val="single" w:sz="6" w:space="0" w:color="auto"/>
              <w:bottom w:val="single" w:sz="6" w:space="0" w:color="auto"/>
              <w:right w:val="single" w:sz="6" w:space="0" w:color="auto"/>
            </w:tcBorders>
          </w:tcPr>
          <w:p w14:paraId="4BA08B9F"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6,461</w:t>
            </w:r>
          </w:p>
        </w:tc>
        <w:tc>
          <w:tcPr>
            <w:tcW w:w="1343" w:type="dxa"/>
            <w:tcBorders>
              <w:top w:val="single" w:sz="6" w:space="0" w:color="auto"/>
              <w:left w:val="single" w:sz="6" w:space="0" w:color="auto"/>
              <w:bottom w:val="single" w:sz="6" w:space="0" w:color="auto"/>
              <w:right w:val="single" w:sz="6" w:space="0" w:color="auto"/>
            </w:tcBorders>
          </w:tcPr>
          <w:p w14:paraId="69193930"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w:t>
            </w:r>
          </w:p>
        </w:tc>
        <w:tc>
          <w:tcPr>
            <w:tcW w:w="1344" w:type="dxa"/>
            <w:tcBorders>
              <w:top w:val="single" w:sz="6" w:space="0" w:color="auto"/>
              <w:left w:val="single" w:sz="6" w:space="0" w:color="auto"/>
              <w:bottom w:val="single" w:sz="6" w:space="0" w:color="auto"/>
              <w:right w:val="single" w:sz="6" w:space="0" w:color="auto"/>
            </w:tcBorders>
          </w:tcPr>
          <w:p w14:paraId="07B3CBE5"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4,608</w:t>
            </w:r>
          </w:p>
        </w:tc>
        <w:tc>
          <w:tcPr>
            <w:tcW w:w="1343" w:type="dxa"/>
            <w:tcBorders>
              <w:top w:val="single" w:sz="6" w:space="0" w:color="auto"/>
              <w:left w:val="single" w:sz="6" w:space="0" w:color="auto"/>
              <w:bottom w:val="single" w:sz="6" w:space="0" w:color="auto"/>
              <w:right w:val="single" w:sz="6" w:space="0" w:color="auto"/>
            </w:tcBorders>
          </w:tcPr>
          <w:p w14:paraId="17A1C16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w:t>
            </w:r>
          </w:p>
        </w:tc>
        <w:tc>
          <w:tcPr>
            <w:tcW w:w="1344" w:type="dxa"/>
            <w:tcBorders>
              <w:top w:val="single" w:sz="6" w:space="0" w:color="auto"/>
              <w:left w:val="single" w:sz="6" w:space="0" w:color="auto"/>
              <w:bottom w:val="single" w:sz="6" w:space="0" w:color="auto"/>
              <w:right w:val="single" w:sz="6" w:space="0" w:color="auto"/>
            </w:tcBorders>
          </w:tcPr>
          <w:p w14:paraId="33860CA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71,848</w:t>
            </w:r>
          </w:p>
        </w:tc>
      </w:tr>
      <w:tr w:rsidR="00955C61" w:rsidRPr="00392E0D" w14:paraId="22B6EBEB"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14333FD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0D259D3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57,474</w:t>
            </w:r>
          </w:p>
        </w:tc>
        <w:tc>
          <w:tcPr>
            <w:tcW w:w="1343" w:type="dxa"/>
            <w:tcBorders>
              <w:top w:val="single" w:sz="6" w:space="0" w:color="auto"/>
              <w:left w:val="single" w:sz="6" w:space="0" w:color="auto"/>
              <w:bottom w:val="single" w:sz="6" w:space="0" w:color="auto"/>
              <w:right w:val="single" w:sz="6" w:space="0" w:color="auto"/>
            </w:tcBorders>
          </w:tcPr>
          <w:p w14:paraId="770DD71E"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84.7</w:t>
            </w:r>
          </w:p>
        </w:tc>
        <w:tc>
          <w:tcPr>
            <w:tcW w:w="1344" w:type="dxa"/>
            <w:tcBorders>
              <w:top w:val="single" w:sz="6" w:space="0" w:color="auto"/>
              <w:left w:val="single" w:sz="6" w:space="0" w:color="auto"/>
              <w:bottom w:val="single" w:sz="6" w:space="0" w:color="auto"/>
              <w:right w:val="single" w:sz="6" w:space="0" w:color="auto"/>
            </w:tcBorders>
          </w:tcPr>
          <w:p w14:paraId="69028F4F"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6,062</w:t>
            </w:r>
          </w:p>
        </w:tc>
        <w:tc>
          <w:tcPr>
            <w:tcW w:w="1343" w:type="dxa"/>
            <w:tcBorders>
              <w:top w:val="single" w:sz="6" w:space="0" w:color="auto"/>
              <w:left w:val="single" w:sz="6" w:space="0" w:color="auto"/>
              <w:bottom w:val="single" w:sz="6" w:space="0" w:color="auto"/>
              <w:right w:val="single" w:sz="6" w:space="0" w:color="auto"/>
            </w:tcBorders>
          </w:tcPr>
          <w:p w14:paraId="2240BBD1"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c>
          <w:tcPr>
            <w:tcW w:w="1344" w:type="dxa"/>
            <w:tcBorders>
              <w:top w:val="single" w:sz="6" w:space="0" w:color="auto"/>
              <w:left w:val="single" w:sz="6" w:space="0" w:color="auto"/>
              <w:bottom w:val="single" w:sz="6" w:space="0" w:color="auto"/>
              <w:right w:val="single" w:sz="6" w:space="0" w:color="auto"/>
            </w:tcBorders>
          </w:tcPr>
          <w:p w14:paraId="28720CE8"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4,292</w:t>
            </w:r>
          </w:p>
        </w:tc>
        <w:tc>
          <w:tcPr>
            <w:tcW w:w="1343" w:type="dxa"/>
            <w:tcBorders>
              <w:top w:val="single" w:sz="6" w:space="0" w:color="auto"/>
              <w:left w:val="single" w:sz="6" w:space="0" w:color="auto"/>
              <w:bottom w:val="single" w:sz="6" w:space="0" w:color="auto"/>
              <w:right w:val="single" w:sz="6" w:space="0" w:color="auto"/>
            </w:tcBorders>
          </w:tcPr>
          <w:p w14:paraId="3A65DAC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w:t>
            </w:r>
          </w:p>
        </w:tc>
        <w:tc>
          <w:tcPr>
            <w:tcW w:w="1344" w:type="dxa"/>
            <w:tcBorders>
              <w:top w:val="single" w:sz="6" w:space="0" w:color="auto"/>
              <w:left w:val="single" w:sz="6" w:space="0" w:color="auto"/>
              <w:bottom w:val="single" w:sz="6" w:space="0" w:color="auto"/>
              <w:right w:val="single" w:sz="6" w:space="0" w:color="auto"/>
            </w:tcBorders>
          </w:tcPr>
          <w:p w14:paraId="7087BEF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67,828</w:t>
            </w:r>
          </w:p>
        </w:tc>
      </w:tr>
      <w:tr w:rsidR="00955C61" w:rsidRPr="00392E0D" w14:paraId="5F964636"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5E856186"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3DFB32A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53,929</w:t>
            </w:r>
          </w:p>
        </w:tc>
        <w:tc>
          <w:tcPr>
            <w:tcW w:w="1343" w:type="dxa"/>
            <w:tcBorders>
              <w:top w:val="single" w:sz="6" w:space="0" w:color="auto"/>
              <w:left w:val="single" w:sz="6" w:space="0" w:color="auto"/>
              <w:bottom w:val="single" w:sz="6" w:space="0" w:color="auto"/>
              <w:right w:val="single" w:sz="6" w:space="0" w:color="auto"/>
            </w:tcBorders>
          </w:tcPr>
          <w:p w14:paraId="68D272B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84.0</w:t>
            </w:r>
          </w:p>
        </w:tc>
        <w:tc>
          <w:tcPr>
            <w:tcW w:w="1344" w:type="dxa"/>
            <w:tcBorders>
              <w:top w:val="single" w:sz="6" w:space="0" w:color="auto"/>
              <w:left w:val="single" w:sz="6" w:space="0" w:color="auto"/>
              <w:bottom w:val="single" w:sz="6" w:space="0" w:color="auto"/>
              <w:right w:val="single" w:sz="6" w:space="0" w:color="auto"/>
            </w:tcBorders>
          </w:tcPr>
          <w:p w14:paraId="6C8734E9"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6,351</w:t>
            </w:r>
          </w:p>
        </w:tc>
        <w:tc>
          <w:tcPr>
            <w:tcW w:w="1343" w:type="dxa"/>
            <w:tcBorders>
              <w:top w:val="single" w:sz="6" w:space="0" w:color="auto"/>
              <w:left w:val="single" w:sz="6" w:space="0" w:color="auto"/>
              <w:bottom w:val="single" w:sz="6" w:space="0" w:color="auto"/>
              <w:right w:val="single" w:sz="6" w:space="0" w:color="auto"/>
            </w:tcBorders>
          </w:tcPr>
          <w:p w14:paraId="1A05C077"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1344" w:type="dxa"/>
            <w:tcBorders>
              <w:top w:val="single" w:sz="6" w:space="0" w:color="auto"/>
              <w:left w:val="single" w:sz="6" w:space="0" w:color="auto"/>
              <w:bottom w:val="single" w:sz="6" w:space="0" w:color="auto"/>
              <w:right w:val="single" w:sz="6" w:space="0" w:color="auto"/>
            </w:tcBorders>
          </w:tcPr>
          <w:p w14:paraId="69B54568"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3,915</w:t>
            </w:r>
          </w:p>
        </w:tc>
        <w:tc>
          <w:tcPr>
            <w:tcW w:w="1343" w:type="dxa"/>
            <w:tcBorders>
              <w:top w:val="single" w:sz="6" w:space="0" w:color="auto"/>
              <w:left w:val="single" w:sz="6" w:space="0" w:color="auto"/>
              <w:bottom w:val="single" w:sz="6" w:space="0" w:color="auto"/>
              <w:right w:val="single" w:sz="6" w:space="0" w:color="auto"/>
            </w:tcBorders>
          </w:tcPr>
          <w:p w14:paraId="6A349F1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w:t>
            </w:r>
          </w:p>
        </w:tc>
        <w:tc>
          <w:tcPr>
            <w:tcW w:w="1344" w:type="dxa"/>
            <w:tcBorders>
              <w:top w:val="single" w:sz="6" w:space="0" w:color="auto"/>
              <w:left w:val="single" w:sz="6" w:space="0" w:color="auto"/>
              <w:bottom w:val="single" w:sz="6" w:space="0" w:color="auto"/>
              <w:right w:val="single" w:sz="6" w:space="0" w:color="auto"/>
            </w:tcBorders>
          </w:tcPr>
          <w:p w14:paraId="7FC910C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64,195</w:t>
            </w:r>
          </w:p>
        </w:tc>
      </w:tr>
      <w:tr w:rsidR="00955C61" w:rsidRPr="00392E0D" w14:paraId="63634F75"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2310793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4A07B0B0"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48,235</w:t>
            </w:r>
          </w:p>
        </w:tc>
        <w:tc>
          <w:tcPr>
            <w:tcW w:w="1343" w:type="dxa"/>
            <w:tcBorders>
              <w:top w:val="single" w:sz="6" w:space="0" w:color="auto"/>
              <w:left w:val="single" w:sz="6" w:space="0" w:color="auto"/>
              <w:bottom w:val="single" w:sz="6" w:space="0" w:color="auto"/>
              <w:right w:val="single" w:sz="6" w:space="0" w:color="auto"/>
            </w:tcBorders>
          </w:tcPr>
          <w:p w14:paraId="24122B21"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84.0</w:t>
            </w:r>
          </w:p>
        </w:tc>
        <w:tc>
          <w:tcPr>
            <w:tcW w:w="1344" w:type="dxa"/>
            <w:tcBorders>
              <w:top w:val="single" w:sz="6" w:space="0" w:color="auto"/>
              <w:left w:val="single" w:sz="6" w:space="0" w:color="auto"/>
              <w:bottom w:val="single" w:sz="6" w:space="0" w:color="auto"/>
              <w:right w:val="single" w:sz="6" w:space="0" w:color="auto"/>
            </w:tcBorders>
          </w:tcPr>
          <w:p w14:paraId="680D46A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5,677</w:t>
            </w:r>
          </w:p>
        </w:tc>
        <w:tc>
          <w:tcPr>
            <w:tcW w:w="1343" w:type="dxa"/>
            <w:tcBorders>
              <w:top w:val="single" w:sz="6" w:space="0" w:color="auto"/>
              <w:left w:val="single" w:sz="6" w:space="0" w:color="auto"/>
              <w:bottom w:val="single" w:sz="6" w:space="0" w:color="auto"/>
              <w:right w:val="single" w:sz="6" w:space="0" w:color="auto"/>
            </w:tcBorders>
          </w:tcPr>
          <w:p w14:paraId="605BB726"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1344" w:type="dxa"/>
            <w:tcBorders>
              <w:top w:val="single" w:sz="6" w:space="0" w:color="auto"/>
              <w:left w:val="single" w:sz="6" w:space="0" w:color="auto"/>
              <w:bottom w:val="single" w:sz="6" w:space="0" w:color="auto"/>
              <w:right w:val="single" w:sz="6" w:space="0" w:color="auto"/>
            </w:tcBorders>
          </w:tcPr>
          <w:p w14:paraId="398E282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3,512</w:t>
            </w:r>
          </w:p>
        </w:tc>
        <w:tc>
          <w:tcPr>
            <w:tcW w:w="1343" w:type="dxa"/>
            <w:tcBorders>
              <w:top w:val="single" w:sz="6" w:space="0" w:color="auto"/>
              <w:left w:val="single" w:sz="6" w:space="0" w:color="auto"/>
              <w:bottom w:val="single" w:sz="6" w:space="0" w:color="auto"/>
              <w:right w:val="single" w:sz="6" w:space="0" w:color="auto"/>
            </w:tcBorders>
          </w:tcPr>
          <w:p w14:paraId="1DA69FCF"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w:t>
            </w:r>
          </w:p>
        </w:tc>
        <w:tc>
          <w:tcPr>
            <w:tcW w:w="1344" w:type="dxa"/>
            <w:tcBorders>
              <w:top w:val="single" w:sz="6" w:space="0" w:color="auto"/>
              <w:left w:val="single" w:sz="6" w:space="0" w:color="auto"/>
              <w:bottom w:val="single" w:sz="6" w:space="0" w:color="auto"/>
              <w:right w:val="single" w:sz="6" w:space="0" w:color="auto"/>
            </w:tcBorders>
          </w:tcPr>
          <w:p w14:paraId="1C4D7A8E"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57,424</w:t>
            </w:r>
          </w:p>
        </w:tc>
      </w:tr>
    </w:tbl>
    <w:p w14:paraId="093C824D" w14:textId="593799D3" w:rsidR="00955C61" w:rsidRPr="00392E0D" w:rsidRDefault="008B5AA3" w:rsidP="008B5AA3">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63</w:t>
      </w:r>
      <w:r w:rsidRPr="00392E0D">
        <w:rPr>
          <w:rFonts w:cs="Arial"/>
        </w:rPr>
        <w:fldChar w:fldCharType="end"/>
      </w:r>
      <w:r w:rsidRPr="00392E0D">
        <w:rPr>
          <w:rFonts w:cs="Arial"/>
        </w:rPr>
        <w:tab/>
      </w:r>
      <w:r w:rsidR="00955C61" w:rsidRPr="00392E0D">
        <w:rPr>
          <w:rFonts w:eastAsiaTheme="minorHAnsi" w:cs="Arial"/>
        </w:rPr>
        <w:t>Victoria trends (2009 – 2021) – Communication skills and general knowledge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955C61" w:rsidRPr="00392E0D" w14:paraId="6710D7A3"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tcPr>
          <w:p w14:paraId="309E939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3811D95F" w14:textId="77777777" w:rsidR="00D65853" w:rsidRPr="00392E0D" w:rsidRDefault="00955C61"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w:t>
            </w:r>
          </w:p>
          <w:p w14:paraId="4E90398E" w14:textId="26161434" w:rsidR="00955C61" w:rsidRPr="00392E0D" w:rsidRDefault="00955C61"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mentally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0DFCDD8C" w14:textId="12493DB3" w:rsidR="00955C61" w:rsidRPr="00392E0D" w:rsidRDefault="00955C61"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w:t>
            </w:r>
            <w:r w:rsidR="00D65853" w:rsidRPr="00392E0D">
              <w:rPr>
                <w:rFonts w:ascii="Arial" w:eastAsiaTheme="minorHAnsi" w:hAnsi="Arial" w:cs="Arial"/>
                <w:color w:val="000000"/>
                <w:sz w:val="20"/>
                <w:szCs w:val="20"/>
                <w:lang w:val="en-AU"/>
              </w:rPr>
              <w:t>-</w:t>
            </w:r>
            <w:r w:rsidRPr="00392E0D">
              <w:rPr>
                <w:rFonts w:ascii="Arial" w:eastAsiaTheme="minorHAnsi" w:hAnsi="Arial" w:cs="Arial"/>
                <w:color w:val="000000"/>
                <w:sz w:val="20"/>
                <w:szCs w:val="20"/>
                <w:lang w:val="en-AU"/>
              </w:rPr>
              <w:t>mentally on track (%)</w:t>
            </w:r>
          </w:p>
        </w:tc>
        <w:tc>
          <w:tcPr>
            <w:tcW w:w="1344" w:type="dxa"/>
            <w:tcBorders>
              <w:top w:val="single" w:sz="6" w:space="0" w:color="auto"/>
              <w:left w:val="single" w:sz="6" w:space="0" w:color="auto"/>
              <w:bottom w:val="single" w:sz="6" w:space="0" w:color="auto"/>
              <w:right w:val="single" w:sz="6" w:space="0" w:color="auto"/>
            </w:tcBorders>
            <w:vAlign w:val="bottom"/>
          </w:tcPr>
          <w:p w14:paraId="38CBF8FC" w14:textId="01AAD8BB" w:rsidR="00955C61" w:rsidRPr="00392E0D" w:rsidRDefault="00955C61"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w:t>
            </w:r>
            <w:r w:rsidR="00D65853" w:rsidRPr="00392E0D">
              <w:rPr>
                <w:rFonts w:ascii="Arial" w:eastAsiaTheme="minorHAnsi" w:hAnsi="Arial" w:cs="Arial"/>
                <w:color w:val="000000"/>
                <w:sz w:val="20"/>
                <w:szCs w:val="20"/>
                <w:lang w:val="en-AU"/>
              </w:rPr>
              <w:t>-</w:t>
            </w:r>
            <w:r w:rsidRPr="00392E0D">
              <w:rPr>
                <w:rFonts w:ascii="Arial" w:eastAsiaTheme="minorHAnsi" w:hAnsi="Arial" w:cs="Arial"/>
                <w:color w:val="000000"/>
                <w:sz w:val="20"/>
                <w:szCs w:val="20"/>
                <w:lang w:val="en-AU"/>
              </w:rPr>
              <w:t>mentally at risk (n)</w:t>
            </w:r>
          </w:p>
        </w:tc>
        <w:tc>
          <w:tcPr>
            <w:tcW w:w="1343" w:type="dxa"/>
            <w:tcBorders>
              <w:top w:val="single" w:sz="6" w:space="0" w:color="auto"/>
              <w:left w:val="single" w:sz="6" w:space="0" w:color="auto"/>
              <w:bottom w:val="single" w:sz="6" w:space="0" w:color="auto"/>
              <w:right w:val="single" w:sz="6" w:space="0" w:color="auto"/>
            </w:tcBorders>
            <w:vAlign w:val="bottom"/>
          </w:tcPr>
          <w:p w14:paraId="041BAD13" w14:textId="387BD518" w:rsidR="00955C61" w:rsidRPr="00392E0D" w:rsidRDefault="00955C61"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w:t>
            </w:r>
            <w:r w:rsidR="00D65853" w:rsidRPr="00392E0D">
              <w:rPr>
                <w:rFonts w:ascii="Arial" w:eastAsiaTheme="minorHAnsi" w:hAnsi="Arial" w:cs="Arial"/>
                <w:color w:val="000000"/>
                <w:sz w:val="20"/>
                <w:szCs w:val="20"/>
                <w:lang w:val="en-AU"/>
              </w:rPr>
              <w:t>-</w:t>
            </w:r>
            <w:r w:rsidRPr="00392E0D">
              <w:rPr>
                <w:rFonts w:ascii="Arial" w:eastAsiaTheme="minorHAnsi" w:hAnsi="Arial" w:cs="Arial"/>
                <w:color w:val="000000"/>
                <w:sz w:val="20"/>
                <w:szCs w:val="20"/>
                <w:lang w:val="en-AU"/>
              </w:rPr>
              <w:t>mentally at risk (%)</w:t>
            </w:r>
          </w:p>
        </w:tc>
        <w:tc>
          <w:tcPr>
            <w:tcW w:w="1344" w:type="dxa"/>
            <w:tcBorders>
              <w:top w:val="single" w:sz="6" w:space="0" w:color="auto"/>
              <w:left w:val="single" w:sz="6" w:space="0" w:color="auto"/>
              <w:bottom w:val="single" w:sz="6" w:space="0" w:color="auto"/>
              <w:right w:val="single" w:sz="6" w:space="0" w:color="auto"/>
            </w:tcBorders>
            <w:vAlign w:val="bottom"/>
          </w:tcPr>
          <w:p w14:paraId="34CB56FE" w14:textId="0C7089EE" w:rsidR="00955C61" w:rsidRPr="00392E0D" w:rsidRDefault="00955C61"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w:t>
            </w:r>
            <w:r w:rsidR="00D65853" w:rsidRPr="00392E0D">
              <w:rPr>
                <w:rFonts w:ascii="Arial" w:eastAsiaTheme="minorHAnsi" w:hAnsi="Arial" w:cs="Arial"/>
                <w:color w:val="000000"/>
                <w:sz w:val="20"/>
                <w:szCs w:val="20"/>
                <w:lang w:val="en-AU"/>
              </w:rPr>
              <w:t>-</w:t>
            </w:r>
            <w:r w:rsidRPr="00392E0D">
              <w:rPr>
                <w:rFonts w:ascii="Arial" w:eastAsiaTheme="minorHAnsi" w:hAnsi="Arial" w:cs="Arial"/>
                <w:color w:val="000000"/>
                <w:sz w:val="20"/>
                <w:szCs w:val="20"/>
                <w:lang w:val="en-AU"/>
              </w:rPr>
              <w:t>mentally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77D524BD" w14:textId="5468185F" w:rsidR="00955C61" w:rsidRPr="00392E0D" w:rsidRDefault="00955C61"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w:t>
            </w:r>
            <w:r w:rsidR="00D65853" w:rsidRPr="00392E0D">
              <w:rPr>
                <w:rFonts w:ascii="Arial" w:eastAsiaTheme="minorHAnsi" w:hAnsi="Arial" w:cs="Arial"/>
                <w:color w:val="000000"/>
                <w:sz w:val="20"/>
                <w:szCs w:val="20"/>
                <w:lang w:val="en-AU"/>
              </w:rPr>
              <w:t>-</w:t>
            </w:r>
            <w:r w:rsidRPr="00392E0D">
              <w:rPr>
                <w:rFonts w:ascii="Arial" w:eastAsiaTheme="minorHAnsi" w:hAnsi="Arial" w:cs="Arial"/>
                <w:color w:val="000000"/>
                <w:sz w:val="20"/>
                <w:szCs w:val="20"/>
                <w:lang w:val="en-AU"/>
              </w:rPr>
              <w:t>mentally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46EF5807" w14:textId="6DB85530" w:rsidR="00955C61" w:rsidRPr="00392E0D" w:rsidRDefault="009B7612" w:rsidP="0009344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955C61" w:rsidRPr="00392E0D" w14:paraId="13D537BF"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0C2D72E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469E47A9"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54,700</w:t>
            </w:r>
          </w:p>
        </w:tc>
        <w:tc>
          <w:tcPr>
            <w:tcW w:w="1343" w:type="dxa"/>
            <w:tcBorders>
              <w:top w:val="single" w:sz="6" w:space="0" w:color="auto"/>
              <w:left w:val="single" w:sz="6" w:space="0" w:color="auto"/>
              <w:bottom w:val="single" w:sz="6" w:space="0" w:color="auto"/>
              <w:right w:val="single" w:sz="6" w:space="0" w:color="auto"/>
            </w:tcBorders>
          </w:tcPr>
          <w:p w14:paraId="412FF144"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79.0</w:t>
            </w:r>
          </w:p>
        </w:tc>
        <w:tc>
          <w:tcPr>
            <w:tcW w:w="1344" w:type="dxa"/>
            <w:tcBorders>
              <w:top w:val="single" w:sz="6" w:space="0" w:color="auto"/>
              <w:left w:val="single" w:sz="6" w:space="0" w:color="auto"/>
              <w:bottom w:val="single" w:sz="6" w:space="0" w:color="auto"/>
              <w:right w:val="single" w:sz="6" w:space="0" w:color="auto"/>
            </w:tcBorders>
          </w:tcPr>
          <w:p w14:paraId="6747937E"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9,441</w:t>
            </w:r>
          </w:p>
        </w:tc>
        <w:tc>
          <w:tcPr>
            <w:tcW w:w="1343" w:type="dxa"/>
            <w:tcBorders>
              <w:top w:val="single" w:sz="6" w:space="0" w:color="auto"/>
              <w:left w:val="single" w:sz="6" w:space="0" w:color="auto"/>
              <w:bottom w:val="single" w:sz="6" w:space="0" w:color="auto"/>
              <w:right w:val="single" w:sz="6" w:space="0" w:color="auto"/>
            </w:tcBorders>
          </w:tcPr>
          <w:p w14:paraId="3FF24827"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13.6</w:t>
            </w:r>
          </w:p>
        </w:tc>
        <w:tc>
          <w:tcPr>
            <w:tcW w:w="1344" w:type="dxa"/>
            <w:tcBorders>
              <w:top w:val="single" w:sz="6" w:space="0" w:color="auto"/>
              <w:left w:val="single" w:sz="6" w:space="0" w:color="auto"/>
              <w:bottom w:val="single" w:sz="6" w:space="0" w:color="auto"/>
              <w:right w:val="single" w:sz="6" w:space="0" w:color="auto"/>
            </w:tcBorders>
          </w:tcPr>
          <w:p w14:paraId="4CC6D1EA"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5,134</w:t>
            </w:r>
          </w:p>
        </w:tc>
        <w:tc>
          <w:tcPr>
            <w:tcW w:w="1343" w:type="dxa"/>
            <w:tcBorders>
              <w:top w:val="single" w:sz="6" w:space="0" w:color="auto"/>
              <w:left w:val="single" w:sz="6" w:space="0" w:color="auto"/>
              <w:bottom w:val="single" w:sz="6" w:space="0" w:color="auto"/>
              <w:right w:val="single" w:sz="6" w:space="0" w:color="auto"/>
            </w:tcBorders>
          </w:tcPr>
          <w:p w14:paraId="026FDE5F"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w:t>
            </w:r>
          </w:p>
        </w:tc>
        <w:tc>
          <w:tcPr>
            <w:tcW w:w="1344" w:type="dxa"/>
            <w:tcBorders>
              <w:top w:val="single" w:sz="6" w:space="0" w:color="auto"/>
              <w:left w:val="single" w:sz="6" w:space="0" w:color="auto"/>
              <w:bottom w:val="single" w:sz="6" w:space="0" w:color="auto"/>
              <w:right w:val="single" w:sz="6" w:space="0" w:color="auto"/>
            </w:tcBorders>
          </w:tcPr>
          <w:p w14:paraId="18B28641"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69,275</w:t>
            </w:r>
          </w:p>
        </w:tc>
      </w:tr>
      <w:tr w:rsidR="00955C61" w:rsidRPr="00392E0D" w14:paraId="75D74767"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75C8537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21377F4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57,098</w:t>
            </w:r>
          </w:p>
        </w:tc>
        <w:tc>
          <w:tcPr>
            <w:tcW w:w="1343" w:type="dxa"/>
            <w:tcBorders>
              <w:top w:val="single" w:sz="6" w:space="0" w:color="auto"/>
              <w:left w:val="single" w:sz="6" w:space="0" w:color="auto"/>
              <w:bottom w:val="single" w:sz="6" w:space="0" w:color="auto"/>
              <w:right w:val="single" w:sz="6" w:space="0" w:color="auto"/>
            </w:tcBorders>
          </w:tcPr>
          <w:p w14:paraId="6919DE44"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79.4</w:t>
            </w:r>
          </w:p>
        </w:tc>
        <w:tc>
          <w:tcPr>
            <w:tcW w:w="1344" w:type="dxa"/>
            <w:tcBorders>
              <w:top w:val="single" w:sz="6" w:space="0" w:color="auto"/>
              <w:left w:val="single" w:sz="6" w:space="0" w:color="auto"/>
              <w:bottom w:val="single" w:sz="6" w:space="0" w:color="auto"/>
              <w:right w:val="single" w:sz="6" w:space="0" w:color="auto"/>
            </w:tcBorders>
          </w:tcPr>
          <w:p w14:paraId="2070C7FF"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9,483</w:t>
            </w:r>
          </w:p>
        </w:tc>
        <w:tc>
          <w:tcPr>
            <w:tcW w:w="1343" w:type="dxa"/>
            <w:tcBorders>
              <w:top w:val="single" w:sz="6" w:space="0" w:color="auto"/>
              <w:left w:val="single" w:sz="6" w:space="0" w:color="auto"/>
              <w:bottom w:val="single" w:sz="6" w:space="0" w:color="auto"/>
              <w:right w:val="single" w:sz="6" w:space="0" w:color="auto"/>
            </w:tcBorders>
          </w:tcPr>
          <w:p w14:paraId="21B54DB1"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13.2</w:t>
            </w:r>
          </w:p>
        </w:tc>
        <w:tc>
          <w:tcPr>
            <w:tcW w:w="1344" w:type="dxa"/>
            <w:tcBorders>
              <w:top w:val="single" w:sz="6" w:space="0" w:color="auto"/>
              <w:left w:val="single" w:sz="6" w:space="0" w:color="auto"/>
              <w:bottom w:val="single" w:sz="6" w:space="0" w:color="auto"/>
              <w:right w:val="single" w:sz="6" w:space="0" w:color="auto"/>
            </w:tcBorders>
          </w:tcPr>
          <w:p w14:paraId="437240CA"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5,312</w:t>
            </w:r>
          </w:p>
        </w:tc>
        <w:tc>
          <w:tcPr>
            <w:tcW w:w="1343" w:type="dxa"/>
            <w:tcBorders>
              <w:top w:val="single" w:sz="6" w:space="0" w:color="auto"/>
              <w:left w:val="single" w:sz="6" w:space="0" w:color="auto"/>
              <w:bottom w:val="single" w:sz="6" w:space="0" w:color="auto"/>
              <w:right w:val="single" w:sz="6" w:space="0" w:color="auto"/>
            </w:tcBorders>
          </w:tcPr>
          <w:p w14:paraId="112C55C9"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w:t>
            </w:r>
          </w:p>
        </w:tc>
        <w:tc>
          <w:tcPr>
            <w:tcW w:w="1344" w:type="dxa"/>
            <w:tcBorders>
              <w:top w:val="single" w:sz="6" w:space="0" w:color="auto"/>
              <w:left w:val="single" w:sz="6" w:space="0" w:color="auto"/>
              <w:bottom w:val="single" w:sz="6" w:space="0" w:color="auto"/>
              <w:right w:val="single" w:sz="6" w:space="0" w:color="auto"/>
            </w:tcBorders>
          </w:tcPr>
          <w:p w14:paraId="6CE3AFA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71,893</w:t>
            </w:r>
          </w:p>
        </w:tc>
      </w:tr>
      <w:tr w:rsidR="00955C61" w:rsidRPr="00392E0D" w14:paraId="1A090E14"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5EDB263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1856DAB0"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53,474</w:t>
            </w:r>
          </w:p>
        </w:tc>
        <w:tc>
          <w:tcPr>
            <w:tcW w:w="1343" w:type="dxa"/>
            <w:tcBorders>
              <w:top w:val="single" w:sz="6" w:space="0" w:color="auto"/>
              <w:left w:val="single" w:sz="6" w:space="0" w:color="auto"/>
              <w:bottom w:val="single" w:sz="6" w:space="0" w:color="auto"/>
              <w:right w:val="single" w:sz="6" w:space="0" w:color="auto"/>
            </w:tcBorders>
          </w:tcPr>
          <w:p w14:paraId="5710545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78.8</w:t>
            </w:r>
          </w:p>
        </w:tc>
        <w:tc>
          <w:tcPr>
            <w:tcW w:w="1344" w:type="dxa"/>
            <w:tcBorders>
              <w:top w:val="single" w:sz="6" w:space="0" w:color="auto"/>
              <w:left w:val="single" w:sz="6" w:space="0" w:color="auto"/>
              <w:bottom w:val="single" w:sz="6" w:space="0" w:color="auto"/>
              <w:right w:val="single" w:sz="6" w:space="0" w:color="auto"/>
            </w:tcBorders>
          </w:tcPr>
          <w:p w14:paraId="287FCB72"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9,259</w:t>
            </w:r>
          </w:p>
        </w:tc>
        <w:tc>
          <w:tcPr>
            <w:tcW w:w="1343" w:type="dxa"/>
            <w:tcBorders>
              <w:top w:val="single" w:sz="6" w:space="0" w:color="auto"/>
              <w:left w:val="single" w:sz="6" w:space="0" w:color="auto"/>
              <w:bottom w:val="single" w:sz="6" w:space="0" w:color="auto"/>
              <w:right w:val="single" w:sz="6" w:space="0" w:color="auto"/>
            </w:tcBorders>
          </w:tcPr>
          <w:p w14:paraId="49AC9F58"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13.6</w:t>
            </w:r>
          </w:p>
        </w:tc>
        <w:tc>
          <w:tcPr>
            <w:tcW w:w="1344" w:type="dxa"/>
            <w:tcBorders>
              <w:top w:val="single" w:sz="6" w:space="0" w:color="auto"/>
              <w:left w:val="single" w:sz="6" w:space="0" w:color="auto"/>
              <w:bottom w:val="single" w:sz="6" w:space="0" w:color="auto"/>
              <w:right w:val="single" w:sz="6" w:space="0" w:color="auto"/>
            </w:tcBorders>
          </w:tcPr>
          <w:p w14:paraId="7E69BF04"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5,131</w:t>
            </w:r>
          </w:p>
        </w:tc>
        <w:tc>
          <w:tcPr>
            <w:tcW w:w="1343" w:type="dxa"/>
            <w:tcBorders>
              <w:top w:val="single" w:sz="6" w:space="0" w:color="auto"/>
              <w:left w:val="single" w:sz="6" w:space="0" w:color="auto"/>
              <w:bottom w:val="single" w:sz="6" w:space="0" w:color="auto"/>
              <w:right w:val="single" w:sz="6" w:space="0" w:color="auto"/>
            </w:tcBorders>
          </w:tcPr>
          <w:p w14:paraId="39D20AA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w:t>
            </w:r>
          </w:p>
        </w:tc>
        <w:tc>
          <w:tcPr>
            <w:tcW w:w="1344" w:type="dxa"/>
            <w:tcBorders>
              <w:top w:val="single" w:sz="6" w:space="0" w:color="auto"/>
              <w:left w:val="single" w:sz="6" w:space="0" w:color="auto"/>
              <w:bottom w:val="single" w:sz="6" w:space="0" w:color="auto"/>
              <w:right w:val="single" w:sz="6" w:space="0" w:color="auto"/>
            </w:tcBorders>
          </w:tcPr>
          <w:p w14:paraId="49F012A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67,864</w:t>
            </w:r>
          </w:p>
        </w:tc>
      </w:tr>
      <w:tr w:rsidR="00955C61" w:rsidRPr="00392E0D" w14:paraId="7BA8AA7D"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686DD494"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58811E4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49,557</w:t>
            </w:r>
          </w:p>
        </w:tc>
        <w:tc>
          <w:tcPr>
            <w:tcW w:w="1343" w:type="dxa"/>
            <w:tcBorders>
              <w:top w:val="single" w:sz="6" w:space="0" w:color="auto"/>
              <w:left w:val="single" w:sz="6" w:space="0" w:color="auto"/>
              <w:bottom w:val="single" w:sz="6" w:space="0" w:color="auto"/>
              <w:right w:val="single" w:sz="6" w:space="0" w:color="auto"/>
            </w:tcBorders>
          </w:tcPr>
          <w:p w14:paraId="6C72CAC7"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77.4</w:t>
            </w:r>
          </w:p>
        </w:tc>
        <w:tc>
          <w:tcPr>
            <w:tcW w:w="1344" w:type="dxa"/>
            <w:tcBorders>
              <w:top w:val="single" w:sz="6" w:space="0" w:color="auto"/>
              <w:left w:val="single" w:sz="6" w:space="0" w:color="auto"/>
              <w:bottom w:val="single" w:sz="6" w:space="0" w:color="auto"/>
              <w:right w:val="single" w:sz="6" w:space="0" w:color="auto"/>
            </w:tcBorders>
          </w:tcPr>
          <w:p w14:paraId="0ADA175A"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9,371</w:t>
            </w:r>
          </w:p>
        </w:tc>
        <w:tc>
          <w:tcPr>
            <w:tcW w:w="1343" w:type="dxa"/>
            <w:tcBorders>
              <w:top w:val="single" w:sz="6" w:space="0" w:color="auto"/>
              <w:left w:val="single" w:sz="6" w:space="0" w:color="auto"/>
              <w:bottom w:val="single" w:sz="6" w:space="0" w:color="auto"/>
              <w:right w:val="single" w:sz="6" w:space="0" w:color="auto"/>
            </w:tcBorders>
          </w:tcPr>
          <w:p w14:paraId="6BBE9044"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14.6</w:t>
            </w:r>
          </w:p>
        </w:tc>
        <w:tc>
          <w:tcPr>
            <w:tcW w:w="1344" w:type="dxa"/>
            <w:tcBorders>
              <w:top w:val="single" w:sz="6" w:space="0" w:color="auto"/>
              <w:left w:val="single" w:sz="6" w:space="0" w:color="auto"/>
              <w:bottom w:val="single" w:sz="6" w:space="0" w:color="auto"/>
              <w:right w:val="single" w:sz="6" w:space="0" w:color="auto"/>
            </w:tcBorders>
          </w:tcPr>
          <w:p w14:paraId="08B15FDE"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5,110</w:t>
            </w:r>
          </w:p>
        </w:tc>
        <w:tc>
          <w:tcPr>
            <w:tcW w:w="1343" w:type="dxa"/>
            <w:tcBorders>
              <w:top w:val="single" w:sz="6" w:space="0" w:color="auto"/>
              <w:left w:val="single" w:sz="6" w:space="0" w:color="auto"/>
              <w:bottom w:val="single" w:sz="6" w:space="0" w:color="auto"/>
              <w:right w:val="single" w:sz="6" w:space="0" w:color="auto"/>
            </w:tcBorders>
          </w:tcPr>
          <w:p w14:paraId="17B76F23"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w:t>
            </w:r>
          </w:p>
        </w:tc>
        <w:tc>
          <w:tcPr>
            <w:tcW w:w="1344" w:type="dxa"/>
            <w:tcBorders>
              <w:top w:val="single" w:sz="6" w:space="0" w:color="auto"/>
              <w:left w:val="single" w:sz="6" w:space="0" w:color="auto"/>
              <w:bottom w:val="single" w:sz="6" w:space="0" w:color="auto"/>
              <w:right w:val="single" w:sz="6" w:space="0" w:color="auto"/>
            </w:tcBorders>
          </w:tcPr>
          <w:p w14:paraId="732F60F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64,038</w:t>
            </w:r>
          </w:p>
        </w:tc>
      </w:tr>
      <w:tr w:rsidR="00955C61" w:rsidRPr="00392E0D" w14:paraId="48A2BEEF" w14:textId="77777777" w:rsidTr="0009344F">
        <w:trPr>
          <w:trHeight w:val="287"/>
        </w:trPr>
        <w:tc>
          <w:tcPr>
            <w:tcW w:w="974" w:type="dxa"/>
            <w:tcBorders>
              <w:top w:val="single" w:sz="6" w:space="0" w:color="auto"/>
              <w:left w:val="single" w:sz="6" w:space="0" w:color="auto"/>
              <w:bottom w:val="single" w:sz="6" w:space="0" w:color="auto"/>
              <w:right w:val="single" w:sz="6" w:space="0" w:color="auto"/>
            </w:tcBorders>
          </w:tcPr>
          <w:p w14:paraId="10A182D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1F25F8B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44,087</w:t>
            </w:r>
          </w:p>
        </w:tc>
        <w:tc>
          <w:tcPr>
            <w:tcW w:w="1343" w:type="dxa"/>
            <w:tcBorders>
              <w:top w:val="single" w:sz="6" w:space="0" w:color="auto"/>
              <w:left w:val="single" w:sz="6" w:space="0" w:color="auto"/>
              <w:bottom w:val="single" w:sz="6" w:space="0" w:color="auto"/>
              <w:right w:val="single" w:sz="6" w:space="0" w:color="auto"/>
            </w:tcBorders>
          </w:tcPr>
          <w:p w14:paraId="0EC3EA5D"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76.7</w:t>
            </w:r>
          </w:p>
        </w:tc>
        <w:tc>
          <w:tcPr>
            <w:tcW w:w="1344" w:type="dxa"/>
            <w:tcBorders>
              <w:top w:val="single" w:sz="6" w:space="0" w:color="auto"/>
              <w:left w:val="single" w:sz="6" w:space="0" w:color="auto"/>
              <w:bottom w:val="single" w:sz="6" w:space="0" w:color="auto"/>
              <w:right w:val="single" w:sz="6" w:space="0" w:color="auto"/>
            </w:tcBorders>
          </w:tcPr>
          <w:p w14:paraId="0D02AFC1"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8,631</w:t>
            </w:r>
          </w:p>
        </w:tc>
        <w:tc>
          <w:tcPr>
            <w:tcW w:w="1343" w:type="dxa"/>
            <w:tcBorders>
              <w:top w:val="single" w:sz="6" w:space="0" w:color="auto"/>
              <w:left w:val="single" w:sz="6" w:space="0" w:color="auto"/>
              <w:bottom w:val="single" w:sz="6" w:space="0" w:color="auto"/>
              <w:right w:val="single" w:sz="6" w:space="0" w:color="auto"/>
            </w:tcBorders>
          </w:tcPr>
          <w:p w14:paraId="3B1D3AE8"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w:t>
            </w:r>
          </w:p>
        </w:tc>
        <w:tc>
          <w:tcPr>
            <w:tcW w:w="1344" w:type="dxa"/>
            <w:tcBorders>
              <w:top w:val="single" w:sz="6" w:space="0" w:color="auto"/>
              <w:left w:val="single" w:sz="6" w:space="0" w:color="auto"/>
              <w:bottom w:val="single" w:sz="6" w:space="0" w:color="auto"/>
              <w:right w:val="single" w:sz="6" w:space="0" w:color="auto"/>
            </w:tcBorders>
          </w:tcPr>
          <w:p w14:paraId="6B69AE2B"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4,773</w:t>
            </w:r>
          </w:p>
        </w:tc>
        <w:tc>
          <w:tcPr>
            <w:tcW w:w="1343" w:type="dxa"/>
            <w:tcBorders>
              <w:top w:val="single" w:sz="6" w:space="0" w:color="auto"/>
              <w:left w:val="single" w:sz="6" w:space="0" w:color="auto"/>
              <w:bottom w:val="single" w:sz="6" w:space="0" w:color="auto"/>
              <w:right w:val="single" w:sz="6" w:space="0" w:color="auto"/>
            </w:tcBorders>
          </w:tcPr>
          <w:p w14:paraId="504BAA4C"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w:t>
            </w:r>
          </w:p>
        </w:tc>
        <w:tc>
          <w:tcPr>
            <w:tcW w:w="1344" w:type="dxa"/>
            <w:tcBorders>
              <w:top w:val="single" w:sz="6" w:space="0" w:color="auto"/>
              <w:left w:val="single" w:sz="6" w:space="0" w:color="auto"/>
              <w:bottom w:val="single" w:sz="6" w:space="0" w:color="auto"/>
              <w:right w:val="single" w:sz="6" w:space="0" w:color="auto"/>
            </w:tcBorders>
          </w:tcPr>
          <w:p w14:paraId="01D0F710" w14:textId="77777777" w:rsidR="00955C61" w:rsidRPr="00392E0D" w:rsidRDefault="00955C61" w:rsidP="00955C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57,491</w:t>
            </w:r>
          </w:p>
        </w:tc>
      </w:tr>
    </w:tbl>
    <w:p w14:paraId="7A23B29C" w14:textId="77777777" w:rsidR="0009344F" w:rsidRPr="00392E0D" w:rsidRDefault="0009344F">
      <w:pPr>
        <w:widowControl/>
        <w:autoSpaceDE/>
        <w:autoSpaceDN/>
        <w:rPr>
          <w:rFonts w:ascii="Arial" w:eastAsia="Times New Roman" w:hAnsi="Arial" w:cs="Arial"/>
          <w:sz w:val="20"/>
          <w:szCs w:val="20"/>
        </w:rPr>
      </w:pPr>
      <w:r w:rsidRPr="00392E0D">
        <w:rPr>
          <w:rFonts w:ascii="Arial" w:hAnsi="Arial" w:cs="Arial"/>
          <w:sz w:val="20"/>
        </w:rPr>
        <w:br w:type="page"/>
      </w:r>
    </w:p>
    <w:p w14:paraId="2FF32CCF" w14:textId="75DF8E21" w:rsidR="00C81D69" w:rsidRPr="00392E0D" w:rsidRDefault="0009344F" w:rsidP="0009344F">
      <w:pPr>
        <w:pStyle w:val="Heading2"/>
        <w:rPr>
          <w:rFonts w:cs="Arial"/>
        </w:rPr>
      </w:pPr>
      <w:r w:rsidRPr="00392E0D">
        <w:rPr>
          <w:rFonts w:cs="Arial"/>
        </w:rPr>
        <w:lastRenderedPageBreak/>
        <w:t>Queensland trends</w:t>
      </w:r>
    </w:p>
    <w:p w14:paraId="2FA8E5CA" w14:textId="722A0B6D" w:rsidR="00F61461" w:rsidRPr="00392E0D" w:rsidRDefault="00F61461" w:rsidP="00F61461">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64</w:t>
      </w:r>
      <w:r w:rsidRPr="00392E0D">
        <w:rPr>
          <w:rFonts w:cs="Arial"/>
        </w:rPr>
        <w:fldChar w:fldCharType="end"/>
      </w:r>
      <w:r w:rsidRPr="00392E0D">
        <w:rPr>
          <w:rFonts w:cs="Arial"/>
        </w:rPr>
        <w:tab/>
      </w:r>
      <w:r w:rsidRPr="00392E0D">
        <w:rPr>
          <w:rFonts w:eastAsiaTheme="minorHAnsi" w:cs="Arial"/>
          <w:lang w:val="en-AU"/>
        </w:rPr>
        <w:t>Queensland trends (2009 – 2021) – Developmentally vulnerable on one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F61461" w:rsidRPr="00392E0D" w14:paraId="45F99E13"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14512B5C"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08F92F75" w14:textId="53B3C203"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5A9E5679" w14:textId="51B43EAE" w:rsidR="00F61461" w:rsidRPr="00392E0D" w:rsidRDefault="00513B7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076837ED" w14:textId="17AD35CB"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F61461" w:rsidRPr="00392E0D" w14:paraId="04E4C57D"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14321333"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60174C4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15,143</w:t>
            </w:r>
          </w:p>
        </w:tc>
        <w:tc>
          <w:tcPr>
            <w:tcW w:w="974" w:type="dxa"/>
            <w:tcBorders>
              <w:top w:val="single" w:sz="6" w:space="0" w:color="auto"/>
              <w:left w:val="single" w:sz="6" w:space="0" w:color="auto"/>
              <w:bottom w:val="single" w:sz="6" w:space="0" w:color="auto"/>
              <w:right w:val="single" w:sz="6" w:space="0" w:color="auto"/>
            </w:tcBorders>
          </w:tcPr>
          <w:p w14:paraId="78D5A42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24.7</w:t>
            </w:r>
          </w:p>
        </w:tc>
        <w:tc>
          <w:tcPr>
            <w:tcW w:w="975" w:type="dxa"/>
            <w:tcBorders>
              <w:top w:val="single" w:sz="6" w:space="0" w:color="auto"/>
              <w:left w:val="single" w:sz="6" w:space="0" w:color="auto"/>
              <w:bottom w:val="single" w:sz="6" w:space="0" w:color="auto"/>
              <w:right w:val="single" w:sz="6" w:space="0" w:color="auto"/>
            </w:tcBorders>
          </w:tcPr>
          <w:p w14:paraId="3706F84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61,279</w:t>
            </w:r>
          </w:p>
        </w:tc>
      </w:tr>
      <w:tr w:rsidR="00F61461" w:rsidRPr="00392E0D" w14:paraId="6031DC0C"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57790DF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5A19E0D2"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15,954</w:t>
            </w:r>
          </w:p>
        </w:tc>
        <w:tc>
          <w:tcPr>
            <w:tcW w:w="974" w:type="dxa"/>
            <w:tcBorders>
              <w:top w:val="single" w:sz="6" w:space="0" w:color="auto"/>
              <w:left w:val="single" w:sz="6" w:space="0" w:color="auto"/>
              <w:bottom w:val="single" w:sz="6" w:space="0" w:color="auto"/>
              <w:right w:val="single" w:sz="6" w:space="0" w:color="auto"/>
            </w:tcBorders>
          </w:tcPr>
          <w:p w14:paraId="2DD2D08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25.9</w:t>
            </w:r>
          </w:p>
        </w:tc>
        <w:tc>
          <w:tcPr>
            <w:tcW w:w="975" w:type="dxa"/>
            <w:tcBorders>
              <w:top w:val="single" w:sz="6" w:space="0" w:color="auto"/>
              <w:left w:val="single" w:sz="6" w:space="0" w:color="auto"/>
              <w:bottom w:val="single" w:sz="6" w:space="0" w:color="auto"/>
              <w:right w:val="single" w:sz="6" w:space="0" w:color="auto"/>
            </w:tcBorders>
          </w:tcPr>
          <w:p w14:paraId="0B977928"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61,673</w:t>
            </w:r>
          </w:p>
        </w:tc>
      </w:tr>
      <w:tr w:rsidR="00F61461" w:rsidRPr="00392E0D" w14:paraId="0F2044F6"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73D3A1C8"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18F2654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16,220</w:t>
            </w:r>
          </w:p>
        </w:tc>
        <w:tc>
          <w:tcPr>
            <w:tcW w:w="974" w:type="dxa"/>
            <w:tcBorders>
              <w:top w:val="single" w:sz="6" w:space="0" w:color="auto"/>
              <w:left w:val="single" w:sz="6" w:space="0" w:color="auto"/>
              <w:bottom w:val="single" w:sz="6" w:space="0" w:color="auto"/>
              <w:right w:val="single" w:sz="6" w:space="0" w:color="auto"/>
            </w:tcBorders>
          </w:tcPr>
          <w:p w14:paraId="2625075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w:t>
            </w:r>
          </w:p>
        </w:tc>
        <w:tc>
          <w:tcPr>
            <w:tcW w:w="975" w:type="dxa"/>
            <w:tcBorders>
              <w:top w:val="single" w:sz="6" w:space="0" w:color="auto"/>
              <w:left w:val="single" w:sz="6" w:space="0" w:color="auto"/>
              <w:bottom w:val="single" w:sz="6" w:space="0" w:color="auto"/>
              <w:right w:val="single" w:sz="6" w:space="0" w:color="auto"/>
            </w:tcBorders>
          </w:tcPr>
          <w:p w14:paraId="7596D883"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62,027</w:t>
            </w:r>
          </w:p>
        </w:tc>
      </w:tr>
      <w:tr w:rsidR="00F61461" w:rsidRPr="00392E0D" w14:paraId="2FCC5C71"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640253A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48510A8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15,217</w:t>
            </w:r>
          </w:p>
        </w:tc>
        <w:tc>
          <w:tcPr>
            <w:tcW w:w="974" w:type="dxa"/>
            <w:tcBorders>
              <w:top w:val="single" w:sz="6" w:space="0" w:color="auto"/>
              <w:left w:val="single" w:sz="6" w:space="0" w:color="auto"/>
              <w:bottom w:val="single" w:sz="6" w:space="0" w:color="auto"/>
              <w:right w:val="single" w:sz="6" w:space="0" w:color="auto"/>
            </w:tcBorders>
          </w:tcPr>
          <w:p w14:paraId="680DF8D1"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26.2</w:t>
            </w:r>
          </w:p>
        </w:tc>
        <w:tc>
          <w:tcPr>
            <w:tcW w:w="975" w:type="dxa"/>
            <w:tcBorders>
              <w:top w:val="single" w:sz="6" w:space="0" w:color="auto"/>
              <w:left w:val="single" w:sz="6" w:space="0" w:color="auto"/>
              <w:bottom w:val="single" w:sz="6" w:space="0" w:color="auto"/>
              <w:right w:val="single" w:sz="6" w:space="0" w:color="auto"/>
            </w:tcBorders>
          </w:tcPr>
          <w:p w14:paraId="7B0F5BF7"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57,994</w:t>
            </w:r>
          </w:p>
        </w:tc>
      </w:tr>
      <w:tr w:rsidR="00F61461" w:rsidRPr="00392E0D" w14:paraId="50F2D4F3"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4E032FA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B47A98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15,593</w:t>
            </w:r>
          </w:p>
        </w:tc>
        <w:tc>
          <w:tcPr>
            <w:tcW w:w="974" w:type="dxa"/>
            <w:tcBorders>
              <w:top w:val="single" w:sz="6" w:space="0" w:color="auto"/>
              <w:left w:val="single" w:sz="6" w:space="0" w:color="auto"/>
              <w:bottom w:val="single" w:sz="6" w:space="0" w:color="auto"/>
              <w:right w:val="single" w:sz="6" w:space="0" w:color="auto"/>
            </w:tcBorders>
          </w:tcPr>
          <w:p w14:paraId="3740738B"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29.6</w:t>
            </w:r>
          </w:p>
        </w:tc>
        <w:tc>
          <w:tcPr>
            <w:tcW w:w="975" w:type="dxa"/>
            <w:tcBorders>
              <w:top w:val="single" w:sz="6" w:space="0" w:color="auto"/>
              <w:left w:val="single" w:sz="6" w:space="0" w:color="auto"/>
              <w:bottom w:val="single" w:sz="6" w:space="0" w:color="auto"/>
              <w:right w:val="single" w:sz="6" w:space="0" w:color="auto"/>
            </w:tcBorders>
          </w:tcPr>
          <w:p w14:paraId="3E9D75E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52,603</w:t>
            </w:r>
          </w:p>
        </w:tc>
      </w:tr>
    </w:tbl>
    <w:p w14:paraId="620BFC04" w14:textId="45231925" w:rsidR="00F61461" w:rsidRPr="00392E0D" w:rsidRDefault="00F61461" w:rsidP="00F61461">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65</w:t>
      </w:r>
      <w:r w:rsidRPr="00392E0D">
        <w:rPr>
          <w:rFonts w:cs="Arial"/>
        </w:rPr>
        <w:fldChar w:fldCharType="end"/>
      </w:r>
      <w:r w:rsidRPr="00392E0D">
        <w:rPr>
          <w:rFonts w:cs="Arial"/>
        </w:rPr>
        <w:tab/>
      </w:r>
      <w:r w:rsidRPr="00392E0D">
        <w:rPr>
          <w:rFonts w:eastAsiaTheme="minorHAnsi" w:cs="Arial"/>
          <w:lang w:val="en-AU"/>
        </w:rPr>
        <w:t>Queensland trends (2009 – 2021) – Developmentally vulnerable on two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F61461" w:rsidRPr="00392E0D" w14:paraId="750CC743"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5C137432"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715D9686" w14:textId="15820070"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2E649641" w14:textId="3AB9BF3D" w:rsidR="00F61461" w:rsidRPr="00392E0D" w:rsidRDefault="00513B7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63E513F4" w14:textId="6595788E"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F61461" w:rsidRPr="00392E0D" w14:paraId="5A454CBD"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06455D7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2E20398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8,088</w:t>
            </w:r>
          </w:p>
        </w:tc>
        <w:tc>
          <w:tcPr>
            <w:tcW w:w="974" w:type="dxa"/>
            <w:tcBorders>
              <w:top w:val="single" w:sz="6" w:space="0" w:color="auto"/>
              <w:left w:val="single" w:sz="6" w:space="0" w:color="auto"/>
              <w:bottom w:val="single" w:sz="6" w:space="0" w:color="auto"/>
              <w:right w:val="single" w:sz="6" w:space="0" w:color="auto"/>
            </w:tcBorders>
          </w:tcPr>
          <w:p w14:paraId="254C0E4B"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13.2</w:t>
            </w:r>
          </w:p>
        </w:tc>
        <w:tc>
          <w:tcPr>
            <w:tcW w:w="975" w:type="dxa"/>
            <w:tcBorders>
              <w:top w:val="single" w:sz="6" w:space="0" w:color="auto"/>
              <w:left w:val="single" w:sz="6" w:space="0" w:color="auto"/>
              <w:bottom w:val="single" w:sz="6" w:space="0" w:color="auto"/>
              <w:right w:val="single" w:sz="6" w:space="0" w:color="auto"/>
            </w:tcBorders>
          </w:tcPr>
          <w:p w14:paraId="71CD1EB2"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61,385</w:t>
            </w:r>
          </w:p>
        </w:tc>
      </w:tr>
      <w:tr w:rsidR="00F61461" w:rsidRPr="00392E0D" w14:paraId="2A111C3B"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2F9DE07A"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56B97EC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8,576</w:t>
            </w:r>
          </w:p>
        </w:tc>
        <w:tc>
          <w:tcPr>
            <w:tcW w:w="974" w:type="dxa"/>
            <w:tcBorders>
              <w:top w:val="single" w:sz="6" w:space="0" w:color="auto"/>
              <w:left w:val="single" w:sz="6" w:space="0" w:color="auto"/>
              <w:bottom w:val="single" w:sz="6" w:space="0" w:color="auto"/>
              <w:right w:val="single" w:sz="6" w:space="0" w:color="auto"/>
            </w:tcBorders>
          </w:tcPr>
          <w:p w14:paraId="2541D663"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13.9</w:t>
            </w:r>
          </w:p>
        </w:tc>
        <w:tc>
          <w:tcPr>
            <w:tcW w:w="975" w:type="dxa"/>
            <w:tcBorders>
              <w:top w:val="single" w:sz="6" w:space="0" w:color="auto"/>
              <w:left w:val="single" w:sz="6" w:space="0" w:color="auto"/>
              <w:bottom w:val="single" w:sz="6" w:space="0" w:color="auto"/>
              <w:right w:val="single" w:sz="6" w:space="0" w:color="auto"/>
            </w:tcBorders>
          </w:tcPr>
          <w:p w14:paraId="69CA66FC"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61,781</w:t>
            </w:r>
          </w:p>
        </w:tc>
      </w:tr>
      <w:tr w:rsidR="00F61461" w:rsidRPr="00392E0D" w14:paraId="19645A7E"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6D74D34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35DB494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8,713</w:t>
            </w:r>
          </w:p>
        </w:tc>
        <w:tc>
          <w:tcPr>
            <w:tcW w:w="974" w:type="dxa"/>
            <w:tcBorders>
              <w:top w:val="single" w:sz="6" w:space="0" w:color="auto"/>
              <w:left w:val="single" w:sz="6" w:space="0" w:color="auto"/>
              <w:bottom w:val="single" w:sz="6" w:space="0" w:color="auto"/>
              <w:right w:val="single" w:sz="6" w:space="0" w:color="auto"/>
            </w:tcBorders>
          </w:tcPr>
          <w:p w14:paraId="3897F37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14.0</w:t>
            </w:r>
          </w:p>
        </w:tc>
        <w:tc>
          <w:tcPr>
            <w:tcW w:w="975" w:type="dxa"/>
            <w:tcBorders>
              <w:top w:val="single" w:sz="6" w:space="0" w:color="auto"/>
              <w:left w:val="single" w:sz="6" w:space="0" w:color="auto"/>
              <w:bottom w:val="single" w:sz="6" w:space="0" w:color="auto"/>
              <w:right w:val="single" w:sz="6" w:space="0" w:color="auto"/>
            </w:tcBorders>
          </w:tcPr>
          <w:p w14:paraId="386372D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62,103</w:t>
            </w:r>
          </w:p>
        </w:tc>
      </w:tr>
      <w:tr w:rsidR="00F61461" w:rsidRPr="00392E0D" w14:paraId="0D7D471F"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39F0618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55DB2687"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8,001</w:t>
            </w:r>
          </w:p>
        </w:tc>
        <w:tc>
          <w:tcPr>
            <w:tcW w:w="974" w:type="dxa"/>
            <w:tcBorders>
              <w:top w:val="single" w:sz="6" w:space="0" w:color="auto"/>
              <w:left w:val="single" w:sz="6" w:space="0" w:color="auto"/>
              <w:bottom w:val="single" w:sz="6" w:space="0" w:color="auto"/>
              <w:right w:val="single" w:sz="6" w:space="0" w:color="auto"/>
            </w:tcBorders>
          </w:tcPr>
          <w:p w14:paraId="5361EDB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13.8</w:t>
            </w:r>
          </w:p>
        </w:tc>
        <w:tc>
          <w:tcPr>
            <w:tcW w:w="975" w:type="dxa"/>
            <w:tcBorders>
              <w:top w:val="single" w:sz="6" w:space="0" w:color="auto"/>
              <w:left w:val="single" w:sz="6" w:space="0" w:color="auto"/>
              <w:bottom w:val="single" w:sz="6" w:space="0" w:color="auto"/>
              <w:right w:val="single" w:sz="6" w:space="0" w:color="auto"/>
            </w:tcBorders>
          </w:tcPr>
          <w:p w14:paraId="6EEA970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58,107</w:t>
            </w:r>
          </w:p>
        </w:tc>
      </w:tr>
      <w:tr w:rsidR="00F61461" w:rsidRPr="00392E0D" w14:paraId="3015295A" w14:textId="77777777" w:rsidTr="00F61461">
        <w:trPr>
          <w:trHeight w:val="296"/>
        </w:trPr>
        <w:tc>
          <w:tcPr>
            <w:tcW w:w="974" w:type="dxa"/>
            <w:tcBorders>
              <w:top w:val="single" w:sz="6" w:space="0" w:color="auto"/>
              <w:left w:val="single" w:sz="6" w:space="0" w:color="auto"/>
              <w:bottom w:val="single" w:sz="6" w:space="0" w:color="auto"/>
              <w:right w:val="single" w:sz="6" w:space="0" w:color="auto"/>
            </w:tcBorders>
          </w:tcPr>
          <w:p w14:paraId="1A1E288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1205D30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8,307</w:t>
            </w:r>
          </w:p>
        </w:tc>
        <w:tc>
          <w:tcPr>
            <w:tcW w:w="974" w:type="dxa"/>
            <w:tcBorders>
              <w:top w:val="single" w:sz="6" w:space="0" w:color="auto"/>
              <w:left w:val="single" w:sz="6" w:space="0" w:color="auto"/>
              <w:bottom w:val="single" w:sz="6" w:space="0" w:color="auto"/>
              <w:right w:val="single" w:sz="6" w:space="0" w:color="auto"/>
            </w:tcBorders>
          </w:tcPr>
          <w:p w14:paraId="047E9E4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w:t>
            </w:r>
          </w:p>
        </w:tc>
        <w:tc>
          <w:tcPr>
            <w:tcW w:w="975" w:type="dxa"/>
            <w:tcBorders>
              <w:top w:val="single" w:sz="6" w:space="0" w:color="auto"/>
              <w:left w:val="single" w:sz="6" w:space="0" w:color="auto"/>
              <w:bottom w:val="single" w:sz="6" w:space="0" w:color="auto"/>
              <w:right w:val="single" w:sz="6" w:space="0" w:color="auto"/>
            </w:tcBorders>
          </w:tcPr>
          <w:p w14:paraId="088AA34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52,670</w:t>
            </w:r>
          </w:p>
        </w:tc>
      </w:tr>
    </w:tbl>
    <w:p w14:paraId="33DA0951" w14:textId="373D2DDD" w:rsidR="00F61461" w:rsidRPr="00392E0D" w:rsidRDefault="00F61461" w:rsidP="00F61461">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66</w:t>
      </w:r>
      <w:r w:rsidRPr="00392E0D">
        <w:rPr>
          <w:rFonts w:cs="Arial"/>
        </w:rPr>
        <w:fldChar w:fldCharType="end"/>
      </w:r>
      <w:r w:rsidRPr="00392E0D">
        <w:rPr>
          <w:rFonts w:cs="Arial"/>
        </w:rPr>
        <w:tab/>
      </w:r>
      <w:r w:rsidRPr="00392E0D">
        <w:rPr>
          <w:rFonts w:eastAsiaTheme="minorHAnsi" w:cs="Arial"/>
          <w:lang w:val="en-AU"/>
        </w:rPr>
        <w:t>Queensland trends (2009 – 2021) – Developmentally on track on five domains</w:t>
      </w:r>
    </w:p>
    <w:tbl>
      <w:tblPr>
        <w:tblW w:w="0" w:type="auto"/>
        <w:tblInd w:w="-38" w:type="dxa"/>
        <w:tblLayout w:type="fixed"/>
        <w:tblLook w:val="0000" w:firstRow="0" w:lastRow="0" w:firstColumn="0" w:lastColumn="0" w:noHBand="0" w:noVBand="0"/>
      </w:tblPr>
      <w:tblGrid>
        <w:gridCol w:w="974"/>
        <w:gridCol w:w="975"/>
        <w:gridCol w:w="974"/>
        <w:gridCol w:w="975"/>
      </w:tblGrid>
      <w:tr w:rsidR="00F61461" w:rsidRPr="00392E0D" w14:paraId="443A81CE"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3D650C9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68A078BB" w14:textId="31DE8D75"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6F449E82" w14:textId="73F715E9" w:rsidR="00F61461" w:rsidRPr="00392E0D" w:rsidRDefault="00513B7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3681D5BE" w14:textId="2CB54CC0"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F61461" w:rsidRPr="00392E0D" w14:paraId="5BBC2C8F"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139296C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79AFFD9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31,524</w:t>
            </w:r>
          </w:p>
        </w:tc>
        <w:tc>
          <w:tcPr>
            <w:tcW w:w="974" w:type="dxa"/>
            <w:tcBorders>
              <w:top w:val="single" w:sz="6" w:space="0" w:color="auto"/>
              <w:left w:val="single" w:sz="6" w:space="0" w:color="auto"/>
              <w:bottom w:val="single" w:sz="6" w:space="0" w:color="auto"/>
              <w:right w:val="single" w:sz="6" w:space="0" w:color="auto"/>
            </w:tcBorders>
          </w:tcPr>
          <w:p w14:paraId="6F9FFF10"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51.4</w:t>
            </w:r>
          </w:p>
        </w:tc>
        <w:tc>
          <w:tcPr>
            <w:tcW w:w="975" w:type="dxa"/>
            <w:tcBorders>
              <w:top w:val="single" w:sz="6" w:space="0" w:color="auto"/>
              <w:left w:val="single" w:sz="6" w:space="0" w:color="auto"/>
              <w:bottom w:val="single" w:sz="6" w:space="0" w:color="auto"/>
              <w:right w:val="single" w:sz="6" w:space="0" w:color="auto"/>
            </w:tcBorders>
          </w:tcPr>
          <w:p w14:paraId="6809030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61,364</w:t>
            </w:r>
          </w:p>
        </w:tc>
      </w:tr>
      <w:tr w:rsidR="00F61461" w:rsidRPr="00392E0D" w14:paraId="50F00BD7"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5D06602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58A4DD0A"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31,167</w:t>
            </w:r>
          </w:p>
        </w:tc>
        <w:tc>
          <w:tcPr>
            <w:tcW w:w="974" w:type="dxa"/>
            <w:tcBorders>
              <w:top w:val="single" w:sz="6" w:space="0" w:color="auto"/>
              <w:left w:val="single" w:sz="6" w:space="0" w:color="auto"/>
              <w:bottom w:val="single" w:sz="6" w:space="0" w:color="auto"/>
              <w:right w:val="single" w:sz="6" w:space="0" w:color="auto"/>
            </w:tcBorders>
          </w:tcPr>
          <w:p w14:paraId="47C0AD0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50.5</w:t>
            </w:r>
          </w:p>
        </w:tc>
        <w:tc>
          <w:tcPr>
            <w:tcW w:w="975" w:type="dxa"/>
            <w:tcBorders>
              <w:top w:val="single" w:sz="6" w:space="0" w:color="auto"/>
              <w:left w:val="single" w:sz="6" w:space="0" w:color="auto"/>
              <w:bottom w:val="single" w:sz="6" w:space="0" w:color="auto"/>
              <w:right w:val="single" w:sz="6" w:space="0" w:color="auto"/>
            </w:tcBorders>
          </w:tcPr>
          <w:p w14:paraId="45BB1B6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61,751</w:t>
            </w:r>
          </w:p>
        </w:tc>
      </w:tr>
      <w:tr w:rsidR="00F61461" w:rsidRPr="00392E0D" w14:paraId="674109A8"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2403167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25829C0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30,610</w:t>
            </w:r>
          </w:p>
        </w:tc>
        <w:tc>
          <w:tcPr>
            <w:tcW w:w="974" w:type="dxa"/>
            <w:tcBorders>
              <w:top w:val="single" w:sz="6" w:space="0" w:color="auto"/>
              <w:left w:val="single" w:sz="6" w:space="0" w:color="auto"/>
              <w:bottom w:val="single" w:sz="6" w:space="0" w:color="auto"/>
              <w:right w:val="single" w:sz="6" w:space="0" w:color="auto"/>
            </w:tcBorders>
          </w:tcPr>
          <w:p w14:paraId="1EA820CB"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49.3</w:t>
            </w:r>
          </w:p>
        </w:tc>
        <w:tc>
          <w:tcPr>
            <w:tcW w:w="975" w:type="dxa"/>
            <w:tcBorders>
              <w:top w:val="single" w:sz="6" w:space="0" w:color="auto"/>
              <w:left w:val="single" w:sz="6" w:space="0" w:color="auto"/>
              <w:bottom w:val="single" w:sz="6" w:space="0" w:color="auto"/>
              <w:right w:val="single" w:sz="6" w:space="0" w:color="auto"/>
            </w:tcBorders>
          </w:tcPr>
          <w:p w14:paraId="32FECF5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62,094</w:t>
            </w:r>
          </w:p>
        </w:tc>
      </w:tr>
      <w:tr w:rsidR="00F61461" w:rsidRPr="00392E0D" w14:paraId="6DD370EC"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451C660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6D82AE8C"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28,036</w:t>
            </w:r>
          </w:p>
        </w:tc>
        <w:tc>
          <w:tcPr>
            <w:tcW w:w="974" w:type="dxa"/>
            <w:tcBorders>
              <w:top w:val="single" w:sz="6" w:space="0" w:color="auto"/>
              <w:left w:val="single" w:sz="6" w:space="0" w:color="auto"/>
              <w:bottom w:val="single" w:sz="6" w:space="0" w:color="auto"/>
              <w:right w:val="single" w:sz="6" w:space="0" w:color="auto"/>
            </w:tcBorders>
          </w:tcPr>
          <w:p w14:paraId="496F1DC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48.3</w:t>
            </w:r>
          </w:p>
        </w:tc>
        <w:tc>
          <w:tcPr>
            <w:tcW w:w="975" w:type="dxa"/>
            <w:tcBorders>
              <w:top w:val="single" w:sz="6" w:space="0" w:color="auto"/>
              <w:left w:val="single" w:sz="6" w:space="0" w:color="auto"/>
              <w:bottom w:val="single" w:sz="6" w:space="0" w:color="auto"/>
              <w:right w:val="single" w:sz="6" w:space="0" w:color="auto"/>
            </w:tcBorders>
          </w:tcPr>
          <w:p w14:paraId="46D745D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58,087</w:t>
            </w:r>
          </w:p>
        </w:tc>
      </w:tr>
      <w:tr w:rsidR="00F61461" w:rsidRPr="00392E0D" w14:paraId="4A970C12" w14:textId="77777777" w:rsidTr="00F61461">
        <w:trPr>
          <w:trHeight w:val="287"/>
        </w:trPr>
        <w:tc>
          <w:tcPr>
            <w:tcW w:w="974" w:type="dxa"/>
            <w:tcBorders>
              <w:top w:val="single" w:sz="6" w:space="0" w:color="auto"/>
              <w:left w:val="single" w:sz="6" w:space="0" w:color="auto"/>
              <w:bottom w:val="single" w:sz="6" w:space="0" w:color="auto"/>
              <w:right w:val="single" w:sz="6" w:space="0" w:color="auto"/>
            </w:tcBorders>
          </w:tcPr>
          <w:p w14:paraId="63A00ACA"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0DCAC75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21,529</w:t>
            </w:r>
          </w:p>
        </w:tc>
        <w:tc>
          <w:tcPr>
            <w:tcW w:w="974" w:type="dxa"/>
            <w:tcBorders>
              <w:top w:val="single" w:sz="6" w:space="0" w:color="auto"/>
              <w:left w:val="single" w:sz="6" w:space="0" w:color="auto"/>
              <w:bottom w:val="single" w:sz="6" w:space="0" w:color="auto"/>
              <w:right w:val="single" w:sz="6" w:space="0" w:color="auto"/>
            </w:tcBorders>
          </w:tcPr>
          <w:p w14:paraId="374F2EC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40.9</w:t>
            </w:r>
          </w:p>
        </w:tc>
        <w:tc>
          <w:tcPr>
            <w:tcW w:w="975" w:type="dxa"/>
            <w:tcBorders>
              <w:top w:val="single" w:sz="6" w:space="0" w:color="auto"/>
              <w:left w:val="single" w:sz="6" w:space="0" w:color="auto"/>
              <w:bottom w:val="single" w:sz="6" w:space="0" w:color="auto"/>
              <w:right w:val="single" w:sz="6" w:space="0" w:color="auto"/>
            </w:tcBorders>
          </w:tcPr>
          <w:p w14:paraId="73C242A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52,685</w:t>
            </w:r>
          </w:p>
        </w:tc>
      </w:tr>
    </w:tbl>
    <w:p w14:paraId="585A5DDF" w14:textId="05F64F9B" w:rsidR="00F61461" w:rsidRPr="00392E0D" w:rsidRDefault="00F61461" w:rsidP="00F61461">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67</w:t>
      </w:r>
      <w:r w:rsidRPr="00392E0D">
        <w:rPr>
          <w:rFonts w:cs="Arial"/>
        </w:rPr>
        <w:fldChar w:fldCharType="end"/>
      </w:r>
      <w:r w:rsidRPr="00392E0D">
        <w:rPr>
          <w:rFonts w:cs="Arial"/>
        </w:rPr>
        <w:tab/>
      </w:r>
      <w:r w:rsidRPr="00392E0D">
        <w:rPr>
          <w:rFonts w:eastAsiaTheme="minorHAnsi" w:cs="Arial"/>
          <w:lang w:val="en-AU"/>
        </w:rPr>
        <w:t>Queensland trends (2009 – 2021) – Physical health and wellbeing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F61461" w:rsidRPr="00392E0D" w14:paraId="41DBFAA8"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0CFF58B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3AFC1776" w14:textId="651CDA67"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741CEAAC" w14:textId="005047AF"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1463BC67" w14:textId="3B666150"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513F6EE5" w14:textId="37C7FB52"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098E18DE" w14:textId="60E61D86"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2B5CAFAD" w14:textId="788BCC6E"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1DCC4E13" w14:textId="4EE09B0F"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F61461" w:rsidRPr="00392E0D" w14:paraId="514889D5" w14:textId="77777777" w:rsidTr="00D65853">
        <w:trPr>
          <w:trHeight w:val="311"/>
        </w:trPr>
        <w:tc>
          <w:tcPr>
            <w:tcW w:w="974" w:type="dxa"/>
            <w:tcBorders>
              <w:top w:val="single" w:sz="6" w:space="0" w:color="auto"/>
              <w:left w:val="single" w:sz="6" w:space="0" w:color="auto"/>
              <w:bottom w:val="single" w:sz="6" w:space="0" w:color="auto"/>
              <w:right w:val="single" w:sz="6" w:space="0" w:color="auto"/>
            </w:tcBorders>
          </w:tcPr>
          <w:p w14:paraId="2F2BCB03"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3E17EC9C"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46,981</w:t>
            </w:r>
          </w:p>
        </w:tc>
        <w:tc>
          <w:tcPr>
            <w:tcW w:w="1343" w:type="dxa"/>
            <w:tcBorders>
              <w:top w:val="single" w:sz="6" w:space="0" w:color="auto"/>
              <w:left w:val="single" w:sz="6" w:space="0" w:color="auto"/>
              <w:bottom w:val="single" w:sz="6" w:space="0" w:color="auto"/>
              <w:right w:val="single" w:sz="6" w:space="0" w:color="auto"/>
            </w:tcBorders>
          </w:tcPr>
          <w:p w14:paraId="36DCF131"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76.5</w:t>
            </w:r>
          </w:p>
        </w:tc>
        <w:tc>
          <w:tcPr>
            <w:tcW w:w="1344" w:type="dxa"/>
            <w:tcBorders>
              <w:top w:val="single" w:sz="6" w:space="0" w:color="auto"/>
              <w:left w:val="single" w:sz="6" w:space="0" w:color="auto"/>
              <w:bottom w:val="single" w:sz="6" w:space="0" w:color="auto"/>
              <w:right w:val="single" w:sz="6" w:space="0" w:color="auto"/>
            </w:tcBorders>
          </w:tcPr>
          <w:p w14:paraId="551DBA71"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7,312</w:t>
            </w:r>
          </w:p>
        </w:tc>
        <w:tc>
          <w:tcPr>
            <w:tcW w:w="1343" w:type="dxa"/>
            <w:tcBorders>
              <w:top w:val="single" w:sz="6" w:space="0" w:color="auto"/>
              <w:left w:val="single" w:sz="6" w:space="0" w:color="auto"/>
              <w:bottom w:val="single" w:sz="6" w:space="0" w:color="auto"/>
              <w:right w:val="single" w:sz="6" w:space="0" w:color="auto"/>
            </w:tcBorders>
          </w:tcPr>
          <w:p w14:paraId="7086727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11.9</w:t>
            </w:r>
          </w:p>
        </w:tc>
        <w:tc>
          <w:tcPr>
            <w:tcW w:w="1344" w:type="dxa"/>
            <w:tcBorders>
              <w:top w:val="single" w:sz="6" w:space="0" w:color="auto"/>
              <w:left w:val="single" w:sz="6" w:space="0" w:color="auto"/>
              <w:bottom w:val="single" w:sz="6" w:space="0" w:color="auto"/>
              <w:right w:val="single" w:sz="6" w:space="0" w:color="auto"/>
            </w:tcBorders>
          </w:tcPr>
          <w:p w14:paraId="70E325C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7,148</w:t>
            </w:r>
          </w:p>
        </w:tc>
        <w:tc>
          <w:tcPr>
            <w:tcW w:w="1343" w:type="dxa"/>
            <w:tcBorders>
              <w:top w:val="single" w:sz="6" w:space="0" w:color="auto"/>
              <w:left w:val="single" w:sz="6" w:space="0" w:color="auto"/>
              <w:bottom w:val="single" w:sz="6" w:space="0" w:color="auto"/>
              <w:right w:val="single" w:sz="6" w:space="0" w:color="auto"/>
            </w:tcBorders>
          </w:tcPr>
          <w:p w14:paraId="552C898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11.6</w:t>
            </w:r>
          </w:p>
        </w:tc>
        <w:tc>
          <w:tcPr>
            <w:tcW w:w="1344" w:type="dxa"/>
            <w:tcBorders>
              <w:top w:val="single" w:sz="6" w:space="0" w:color="auto"/>
              <w:left w:val="single" w:sz="6" w:space="0" w:color="auto"/>
              <w:bottom w:val="single" w:sz="6" w:space="0" w:color="auto"/>
              <w:right w:val="single" w:sz="6" w:space="0" w:color="auto"/>
            </w:tcBorders>
          </w:tcPr>
          <w:p w14:paraId="28A4B1D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61,441</w:t>
            </w:r>
          </w:p>
        </w:tc>
      </w:tr>
      <w:tr w:rsidR="00F61461" w:rsidRPr="00392E0D" w14:paraId="689781AF"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66DC97B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37B4C0B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45,801</w:t>
            </w:r>
          </w:p>
        </w:tc>
        <w:tc>
          <w:tcPr>
            <w:tcW w:w="1343" w:type="dxa"/>
            <w:tcBorders>
              <w:top w:val="single" w:sz="6" w:space="0" w:color="auto"/>
              <w:left w:val="single" w:sz="6" w:space="0" w:color="auto"/>
              <w:bottom w:val="single" w:sz="6" w:space="0" w:color="auto"/>
              <w:right w:val="single" w:sz="6" w:space="0" w:color="auto"/>
            </w:tcBorders>
          </w:tcPr>
          <w:p w14:paraId="2C52DF2A"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74.1</w:t>
            </w:r>
          </w:p>
        </w:tc>
        <w:tc>
          <w:tcPr>
            <w:tcW w:w="1344" w:type="dxa"/>
            <w:tcBorders>
              <w:top w:val="single" w:sz="6" w:space="0" w:color="auto"/>
              <w:left w:val="single" w:sz="6" w:space="0" w:color="auto"/>
              <w:bottom w:val="single" w:sz="6" w:space="0" w:color="auto"/>
              <w:right w:val="single" w:sz="6" w:space="0" w:color="auto"/>
            </w:tcBorders>
          </w:tcPr>
          <w:p w14:paraId="0248133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8,462</w:t>
            </w:r>
          </w:p>
        </w:tc>
        <w:tc>
          <w:tcPr>
            <w:tcW w:w="1343" w:type="dxa"/>
            <w:tcBorders>
              <w:top w:val="single" w:sz="6" w:space="0" w:color="auto"/>
              <w:left w:val="single" w:sz="6" w:space="0" w:color="auto"/>
              <w:bottom w:val="single" w:sz="6" w:space="0" w:color="auto"/>
              <w:right w:val="single" w:sz="6" w:space="0" w:color="auto"/>
            </w:tcBorders>
          </w:tcPr>
          <w:p w14:paraId="22151CD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13.7</w:t>
            </w:r>
          </w:p>
        </w:tc>
        <w:tc>
          <w:tcPr>
            <w:tcW w:w="1344" w:type="dxa"/>
            <w:tcBorders>
              <w:top w:val="single" w:sz="6" w:space="0" w:color="auto"/>
              <w:left w:val="single" w:sz="6" w:space="0" w:color="auto"/>
              <w:bottom w:val="single" w:sz="6" w:space="0" w:color="auto"/>
              <w:right w:val="single" w:sz="6" w:space="0" w:color="auto"/>
            </w:tcBorders>
          </w:tcPr>
          <w:p w14:paraId="1F001603"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7,581</w:t>
            </w:r>
          </w:p>
        </w:tc>
        <w:tc>
          <w:tcPr>
            <w:tcW w:w="1343" w:type="dxa"/>
            <w:tcBorders>
              <w:top w:val="single" w:sz="6" w:space="0" w:color="auto"/>
              <w:left w:val="single" w:sz="6" w:space="0" w:color="auto"/>
              <w:bottom w:val="single" w:sz="6" w:space="0" w:color="auto"/>
              <w:right w:val="single" w:sz="6" w:space="0" w:color="auto"/>
            </w:tcBorders>
          </w:tcPr>
          <w:p w14:paraId="61593A8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12.3</w:t>
            </w:r>
          </w:p>
        </w:tc>
        <w:tc>
          <w:tcPr>
            <w:tcW w:w="1344" w:type="dxa"/>
            <w:tcBorders>
              <w:top w:val="single" w:sz="6" w:space="0" w:color="auto"/>
              <w:left w:val="single" w:sz="6" w:space="0" w:color="auto"/>
              <w:bottom w:val="single" w:sz="6" w:space="0" w:color="auto"/>
              <w:right w:val="single" w:sz="6" w:space="0" w:color="auto"/>
            </w:tcBorders>
          </w:tcPr>
          <w:p w14:paraId="3726DA7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61,844</w:t>
            </w:r>
          </w:p>
        </w:tc>
      </w:tr>
      <w:tr w:rsidR="00F61461" w:rsidRPr="00392E0D" w14:paraId="15F5B018"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175705D8"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0087FF3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45,387</w:t>
            </w:r>
          </w:p>
        </w:tc>
        <w:tc>
          <w:tcPr>
            <w:tcW w:w="1343" w:type="dxa"/>
            <w:tcBorders>
              <w:top w:val="single" w:sz="6" w:space="0" w:color="auto"/>
              <w:left w:val="single" w:sz="6" w:space="0" w:color="auto"/>
              <w:bottom w:val="single" w:sz="6" w:space="0" w:color="auto"/>
              <w:right w:val="single" w:sz="6" w:space="0" w:color="auto"/>
            </w:tcBorders>
          </w:tcPr>
          <w:p w14:paraId="7C55DED4"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73.0</w:t>
            </w:r>
          </w:p>
        </w:tc>
        <w:tc>
          <w:tcPr>
            <w:tcW w:w="1344" w:type="dxa"/>
            <w:tcBorders>
              <w:top w:val="single" w:sz="6" w:space="0" w:color="auto"/>
              <w:left w:val="single" w:sz="6" w:space="0" w:color="auto"/>
              <w:bottom w:val="single" w:sz="6" w:space="0" w:color="auto"/>
              <w:right w:val="single" w:sz="6" w:space="0" w:color="auto"/>
            </w:tcBorders>
          </w:tcPr>
          <w:p w14:paraId="055257A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9,069</w:t>
            </w:r>
          </w:p>
        </w:tc>
        <w:tc>
          <w:tcPr>
            <w:tcW w:w="1343" w:type="dxa"/>
            <w:tcBorders>
              <w:top w:val="single" w:sz="6" w:space="0" w:color="auto"/>
              <w:left w:val="single" w:sz="6" w:space="0" w:color="auto"/>
              <w:bottom w:val="single" w:sz="6" w:space="0" w:color="auto"/>
              <w:right w:val="single" w:sz="6" w:space="0" w:color="auto"/>
            </w:tcBorders>
          </w:tcPr>
          <w:p w14:paraId="42F9E24F"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14.6</w:t>
            </w:r>
          </w:p>
        </w:tc>
        <w:tc>
          <w:tcPr>
            <w:tcW w:w="1344" w:type="dxa"/>
            <w:tcBorders>
              <w:top w:val="single" w:sz="6" w:space="0" w:color="auto"/>
              <w:left w:val="single" w:sz="6" w:space="0" w:color="auto"/>
              <w:bottom w:val="single" w:sz="6" w:space="0" w:color="auto"/>
              <w:right w:val="single" w:sz="6" w:space="0" w:color="auto"/>
            </w:tcBorders>
          </w:tcPr>
          <w:p w14:paraId="076BCA7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7,705</w:t>
            </w:r>
          </w:p>
        </w:tc>
        <w:tc>
          <w:tcPr>
            <w:tcW w:w="1343" w:type="dxa"/>
            <w:tcBorders>
              <w:top w:val="single" w:sz="6" w:space="0" w:color="auto"/>
              <w:left w:val="single" w:sz="6" w:space="0" w:color="auto"/>
              <w:bottom w:val="single" w:sz="6" w:space="0" w:color="auto"/>
              <w:right w:val="single" w:sz="6" w:space="0" w:color="auto"/>
            </w:tcBorders>
          </w:tcPr>
          <w:p w14:paraId="4D4301E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w:t>
            </w:r>
          </w:p>
        </w:tc>
        <w:tc>
          <w:tcPr>
            <w:tcW w:w="1344" w:type="dxa"/>
            <w:tcBorders>
              <w:top w:val="single" w:sz="6" w:space="0" w:color="auto"/>
              <w:left w:val="single" w:sz="6" w:space="0" w:color="auto"/>
              <w:bottom w:val="single" w:sz="6" w:space="0" w:color="auto"/>
              <w:right w:val="single" w:sz="6" w:space="0" w:color="auto"/>
            </w:tcBorders>
          </w:tcPr>
          <w:p w14:paraId="1EAE0B5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62,161</w:t>
            </w:r>
          </w:p>
        </w:tc>
      </w:tr>
      <w:tr w:rsidR="00F61461" w:rsidRPr="00392E0D" w14:paraId="370ED6F1"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0D7157F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50498BD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42,427</w:t>
            </w:r>
          </w:p>
        </w:tc>
        <w:tc>
          <w:tcPr>
            <w:tcW w:w="1343" w:type="dxa"/>
            <w:tcBorders>
              <w:top w:val="single" w:sz="6" w:space="0" w:color="auto"/>
              <w:left w:val="single" w:sz="6" w:space="0" w:color="auto"/>
              <w:bottom w:val="single" w:sz="6" w:space="0" w:color="auto"/>
              <w:right w:val="single" w:sz="6" w:space="0" w:color="auto"/>
            </w:tcBorders>
          </w:tcPr>
          <w:p w14:paraId="30872F9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72.9</w:t>
            </w:r>
          </w:p>
        </w:tc>
        <w:tc>
          <w:tcPr>
            <w:tcW w:w="1344" w:type="dxa"/>
            <w:tcBorders>
              <w:top w:val="single" w:sz="6" w:space="0" w:color="auto"/>
              <w:left w:val="single" w:sz="6" w:space="0" w:color="auto"/>
              <w:bottom w:val="single" w:sz="6" w:space="0" w:color="auto"/>
              <w:right w:val="single" w:sz="6" w:space="0" w:color="auto"/>
            </w:tcBorders>
          </w:tcPr>
          <w:p w14:paraId="4D38B3C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9,023</w:t>
            </w:r>
          </w:p>
        </w:tc>
        <w:tc>
          <w:tcPr>
            <w:tcW w:w="1343" w:type="dxa"/>
            <w:tcBorders>
              <w:top w:val="single" w:sz="6" w:space="0" w:color="auto"/>
              <w:left w:val="single" w:sz="6" w:space="0" w:color="auto"/>
              <w:bottom w:val="single" w:sz="6" w:space="0" w:color="auto"/>
              <w:right w:val="single" w:sz="6" w:space="0" w:color="auto"/>
            </w:tcBorders>
          </w:tcPr>
          <w:p w14:paraId="1356AF6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w:t>
            </w:r>
          </w:p>
        </w:tc>
        <w:tc>
          <w:tcPr>
            <w:tcW w:w="1344" w:type="dxa"/>
            <w:tcBorders>
              <w:top w:val="single" w:sz="6" w:space="0" w:color="auto"/>
              <w:left w:val="single" w:sz="6" w:space="0" w:color="auto"/>
              <w:bottom w:val="single" w:sz="6" w:space="0" w:color="auto"/>
              <w:right w:val="single" w:sz="6" w:space="0" w:color="auto"/>
            </w:tcBorders>
          </w:tcPr>
          <w:p w14:paraId="7F945D94"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6,759</w:t>
            </w:r>
          </w:p>
        </w:tc>
        <w:tc>
          <w:tcPr>
            <w:tcW w:w="1343" w:type="dxa"/>
            <w:tcBorders>
              <w:top w:val="single" w:sz="6" w:space="0" w:color="auto"/>
              <w:left w:val="single" w:sz="6" w:space="0" w:color="auto"/>
              <w:bottom w:val="single" w:sz="6" w:space="0" w:color="auto"/>
              <w:right w:val="single" w:sz="6" w:space="0" w:color="auto"/>
            </w:tcBorders>
          </w:tcPr>
          <w:p w14:paraId="79D7026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11.6</w:t>
            </w:r>
          </w:p>
        </w:tc>
        <w:tc>
          <w:tcPr>
            <w:tcW w:w="1344" w:type="dxa"/>
            <w:tcBorders>
              <w:top w:val="single" w:sz="6" w:space="0" w:color="auto"/>
              <w:left w:val="single" w:sz="6" w:space="0" w:color="auto"/>
              <w:bottom w:val="single" w:sz="6" w:space="0" w:color="auto"/>
              <w:right w:val="single" w:sz="6" w:space="0" w:color="auto"/>
            </w:tcBorders>
          </w:tcPr>
          <w:p w14:paraId="488525FB"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58,209</w:t>
            </w:r>
          </w:p>
        </w:tc>
      </w:tr>
      <w:tr w:rsidR="00F61461" w:rsidRPr="00392E0D" w14:paraId="4D291336"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4F589D5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1598D884"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39,427</w:t>
            </w:r>
          </w:p>
        </w:tc>
        <w:tc>
          <w:tcPr>
            <w:tcW w:w="1343" w:type="dxa"/>
            <w:tcBorders>
              <w:top w:val="single" w:sz="6" w:space="0" w:color="auto"/>
              <w:left w:val="single" w:sz="6" w:space="0" w:color="auto"/>
              <w:bottom w:val="single" w:sz="6" w:space="0" w:color="auto"/>
              <w:right w:val="single" w:sz="6" w:space="0" w:color="auto"/>
            </w:tcBorders>
          </w:tcPr>
          <w:p w14:paraId="23B7057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74.7</w:t>
            </w:r>
          </w:p>
        </w:tc>
        <w:tc>
          <w:tcPr>
            <w:tcW w:w="1344" w:type="dxa"/>
            <w:tcBorders>
              <w:top w:val="single" w:sz="6" w:space="0" w:color="auto"/>
              <w:left w:val="single" w:sz="6" w:space="0" w:color="auto"/>
              <w:bottom w:val="single" w:sz="6" w:space="0" w:color="auto"/>
              <w:right w:val="single" w:sz="6" w:space="0" w:color="auto"/>
            </w:tcBorders>
          </w:tcPr>
          <w:p w14:paraId="3F5A557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7,525</w:t>
            </w:r>
          </w:p>
        </w:tc>
        <w:tc>
          <w:tcPr>
            <w:tcW w:w="1343" w:type="dxa"/>
            <w:tcBorders>
              <w:top w:val="single" w:sz="6" w:space="0" w:color="auto"/>
              <w:left w:val="single" w:sz="6" w:space="0" w:color="auto"/>
              <w:bottom w:val="single" w:sz="6" w:space="0" w:color="auto"/>
              <w:right w:val="single" w:sz="6" w:space="0" w:color="auto"/>
            </w:tcBorders>
          </w:tcPr>
          <w:p w14:paraId="078D93E5"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14.3</w:t>
            </w:r>
          </w:p>
        </w:tc>
        <w:tc>
          <w:tcPr>
            <w:tcW w:w="1344" w:type="dxa"/>
            <w:tcBorders>
              <w:top w:val="single" w:sz="6" w:space="0" w:color="auto"/>
              <w:left w:val="single" w:sz="6" w:space="0" w:color="auto"/>
              <w:bottom w:val="single" w:sz="6" w:space="0" w:color="auto"/>
              <w:right w:val="single" w:sz="6" w:space="0" w:color="auto"/>
            </w:tcBorders>
          </w:tcPr>
          <w:p w14:paraId="5D6F6D9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5,809</w:t>
            </w:r>
          </w:p>
        </w:tc>
        <w:tc>
          <w:tcPr>
            <w:tcW w:w="1343" w:type="dxa"/>
            <w:tcBorders>
              <w:top w:val="single" w:sz="6" w:space="0" w:color="auto"/>
              <w:left w:val="single" w:sz="6" w:space="0" w:color="auto"/>
              <w:bottom w:val="single" w:sz="6" w:space="0" w:color="auto"/>
              <w:right w:val="single" w:sz="6" w:space="0" w:color="auto"/>
            </w:tcBorders>
          </w:tcPr>
          <w:p w14:paraId="16CD0D6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w:t>
            </w:r>
          </w:p>
        </w:tc>
        <w:tc>
          <w:tcPr>
            <w:tcW w:w="1344" w:type="dxa"/>
            <w:tcBorders>
              <w:top w:val="single" w:sz="6" w:space="0" w:color="auto"/>
              <w:left w:val="single" w:sz="6" w:space="0" w:color="auto"/>
              <w:bottom w:val="single" w:sz="6" w:space="0" w:color="auto"/>
              <w:right w:val="single" w:sz="6" w:space="0" w:color="auto"/>
            </w:tcBorders>
          </w:tcPr>
          <w:p w14:paraId="5389164B"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52,761</w:t>
            </w:r>
          </w:p>
        </w:tc>
      </w:tr>
    </w:tbl>
    <w:p w14:paraId="6A31B99A" w14:textId="77777777" w:rsidR="00D65853" w:rsidRPr="00392E0D" w:rsidRDefault="00D65853">
      <w:pPr>
        <w:widowControl/>
        <w:autoSpaceDE/>
        <w:autoSpaceDN/>
        <w:rPr>
          <w:rFonts w:ascii="Arial" w:eastAsia="Times New Roman" w:hAnsi="Arial" w:cs="Arial"/>
          <w:color w:val="000000" w:themeColor="text1"/>
          <w:szCs w:val="18"/>
        </w:rPr>
      </w:pPr>
      <w:r w:rsidRPr="00392E0D">
        <w:rPr>
          <w:rFonts w:ascii="Arial" w:hAnsi="Arial" w:cs="Arial"/>
        </w:rPr>
        <w:br w:type="page"/>
      </w:r>
    </w:p>
    <w:p w14:paraId="14D0C4BF" w14:textId="1C3B4DA6" w:rsidR="00F61461" w:rsidRPr="00392E0D" w:rsidRDefault="00F61461" w:rsidP="00F61461">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68</w:t>
      </w:r>
      <w:r w:rsidRPr="00392E0D">
        <w:rPr>
          <w:rFonts w:cs="Arial"/>
        </w:rPr>
        <w:fldChar w:fldCharType="end"/>
      </w:r>
      <w:r w:rsidRPr="00392E0D">
        <w:rPr>
          <w:rFonts w:cs="Arial"/>
        </w:rPr>
        <w:tab/>
      </w:r>
      <w:r w:rsidRPr="00392E0D">
        <w:rPr>
          <w:rFonts w:eastAsiaTheme="minorHAnsi" w:cs="Arial"/>
          <w:lang w:val="en-AU"/>
        </w:rPr>
        <w:t>Queensland trends (2009 – 2021) – Social Competence domain</w:t>
      </w:r>
    </w:p>
    <w:tbl>
      <w:tblPr>
        <w:tblW w:w="10236" w:type="dxa"/>
        <w:tblInd w:w="-38" w:type="dxa"/>
        <w:tblLayout w:type="fixed"/>
        <w:tblLook w:val="0000" w:firstRow="0" w:lastRow="0" w:firstColumn="0" w:lastColumn="0" w:noHBand="0" w:noVBand="0"/>
      </w:tblPr>
      <w:tblGrid>
        <w:gridCol w:w="974"/>
        <w:gridCol w:w="1343"/>
        <w:gridCol w:w="1343"/>
        <w:gridCol w:w="1344"/>
        <w:gridCol w:w="1343"/>
        <w:gridCol w:w="1344"/>
        <w:gridCol w:w="1343"/>
        <w:gridCol w:w="1202"/>
      </w:tblGrid>
      <w:tr w:rsidR="00D65853" w:rsidRPr="00392E0D" w14:paraId="49BF0528"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7BA1712A"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7B7F43C7" w14:textId="60A80202"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5C5827D8" w14:textId="511E67BF"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3CFD81BB" w14:textId="20678FD1"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6466AADD" w14:textId="1D7D4DC5"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1B5C882" w14:textId="5A18818A"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45DA1677" w14:textId="0337FDE4"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w:t>
            </w:r>
          </w:p>
        </w:tc>
        <w:tc>
          <w:tcPr>
            <w:tcW w:w="1202" w:type="dxa"/>
            <w:tcBorders>
              <w:top w:val="single" w:sz="6" w:space="0" w:color="auto"/>
              <w:left w:val="single" w:sz="6" w:space="0" w:color="auto"/>
              <w:bottom w:val="single" w:sz="6" w:space="0" w:color="auto"/>
              <w:right w:val="single" w:sz="6" w:space="0" w:color="auto"/>
            </w:tcBorders>
            <w:vAlign w:val="bottom"/>
          </w:tcPr>
          <w:p w14:paraId="5A9CBB01" w14:textId="169F07B1"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D65853" w:rsidRPr="00392E0D" w14:paraId="5CE64482"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4035A9AC"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65BAF2AA"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45,452</w:t>
            </w:r>
          </w:p>
        </w:tc>
        <w:tc>
          <w:tcPr>
            <w:tcW w:w="1343" w:type="dxa"/>
            <w:tcBorders>
              <w:top w:val="single" w:sz="6" w:space="0" w:color="auto"/>
              <w:left w:val="single" w:sz="6" w:space="0" w:color="auto"/>
              <w:bottom w:val="single" w:sz="6" w:space="0" w:color="auto"/>
              <w:right w:val="single" w:sz="6" w:space="0" w:color="auto"/>
            </w:tcBorders>
          </w:tcPr>
          <w:p w14:paraId="4FFC530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74.0</w:t>
            </w:r>
          </w:p>
        </w:tc>
        <w:tc>
          <w:tcPr>
            <w:tcW w:w="1344" w:type="dxa"/>
            <w:tcBorders>
              <w:top w:val="single" w:sz="6" w:space="0" w:color="auto"/>
              <w:left w:val="single" w:sz="6" w:space="0" w:color="auto"/>
              <w:bottom w:val="single" w:sz="6" w:space="0" w:color="auto"/>
              <w:right w:val="single" w:sz="6" w:space="0" w:color="auto"/>
            </w:tcBorders>
          </w:tcPr>
          <w:p w14:paraId="1E0A0345"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9,447</w:t>
            </w:r>
          </w:p>
        </w:tc>
        <w:tc>
          <w:tcPr>
            <w:tcW w:w="1343" w:type="dxa"/>
            <w:tcBorders>
              <w:top w:val="single" w:sz="6" w:space="0" w:color="auto"/>
              <w:left w:val="single" w:sz="6" w:space="0" w:color="auto"/>
              <w:bottom w:val="single" w:sz="6" w:space="0" w:color="auto"/>
              <w:right w:val="single" w:sz="6" w:space="0" w:color="auto"/>
            </w:tcBorders>
          </w:tcPr>
          <w:p w14:paraId="012C2BB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w:t>
            </w:r>
          </w:p>
        </w:tc>
        <w:tc>
          <w:tcPr>
            <w:tcW w:w="1344" w:type="dxa"/>
            <w:tcBorders>
              <w:top w:val="single" w:sz="6" w:space="0" w:color="auto"/>
              <w:left w:val="single" w:sz="6" w:space="0" w:color="auto"/>
              <w:bottom w:val="single" w:sz="6" w:space="0" w:color="auto"/>
              <w:right w:val="single" w:sz="6" w:space="0" w:color="auto"/>
            </w:tcBorders>
          </w:tcPr>
          <w:p w14:paraId="16969195"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6,536</w:t>
            </w:r>
          </w:p>
        </w:tc>
        <w:tc>
          <w:tcPr>
            <w:tcW w:w="1343" w:type="dxa"/>
            <w:tcBorders>
              <w:top w:val="single" w:sz="6" w:space="0" w:color="auto"/>
              <w:left w:val="single" w:sz="6" w:space="0" w:color="auto"/>
              <w:bottom w:val="single" w:sz="6" w:space="0" w:color="auto"/>
              <w:right w:val="single" w:sz="6" w:space="0" w:color="auto"/>
            </w:tcBorders>
          </w:tcPr>
          <w:p w14:paraId="295BC32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w:t>
            </w:r>
          </w:p>
        </w:tc>
        <w:tc>
          <w:tcPr>
            <w:tcW w:w="1202" w:type="dxa"/>
            <w:tcBorders>
              <w:top w:val="single" w:sz="6" w:space="0" w:color="auto"/>
              <w:left w:val="single" w:sz="6" w:space="0" w:color="auto"/>
              <w:bottom w:val="single" w:sz="6" w:space="0" w:color="auto"/>
              <w:right w:val="single" w:sz="6" w:space="0" w:color="auto"/>
            </w:tcBorders>
          </w:tcPr>
          <w:p w14:paraId="405A226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61,435</w:t>
            </w:r>
          </w:p>
        </w:tc>
      </w:tr>
      <w:tr w:rsidR="00D65853" w:rsidRPr="00392E0D" w14:paraId="1F3DB1E5"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08DF203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72E3DAE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44,446</w:t>
            </w:r>
          </w:p>
        </w:tc>
        <w:tc>
          <w:tcPr>
            <w:tcW w:w="1343" w:type="dxa"/>
            <w:tcBorders>
              <w:top w:val="single" w:sz="6" w:space="0" w:color="auto"/>
              <w:left w:val="single" w:sz="6" w:space="0" w:color="auto"/>
              <w:bottom w:val="single" w:sz="6" w:space="0" w:color="auto"/>
              <w:right w:val="single" w:sz="6" w:space="0" w:color="auto"/>
            </w:tcBorders>
          </w:tcPr>
          <w:p w14:paraId="2A510870"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71.9</w:t>
            </w:r>
          </w:p>
        </w:tc>
        <w:tc>
          <w:tcPr>
            <w:tcW w:w="1344" w:type="dxa"/>
            <w:tcBorders>
              <w:top w:val="single" w:sz="6" w:space="0" w:color="auto"/>
              <w:left w:val="single" w:sz="6" w:space="0" w:color="auto"/>
              <w:bottom w:val="single" w:sz="6" w:space="0" w:color="auto"/>
              <w:right w:val="single" w:sz="6" w:space="0" w:color="auto"/>
            </w:tcBorders>
          </w:tcPr>
          <w:p w14:paraId="01BD7FBE"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10,004</w:t>
            </w:r>
          </w:p>
        </w:tc>
        <w:tc>
          <w:tcPr>
            <w:tcW w:w="1343" w:type="dxa"/>
            <w:tcBorders>
              <w:top w:val="single" w:sz="6" w:space="0" w:color="auto"/>
              <w:left w:val="single" w:sz="6" w:space="0" w:color="auto"/>
              <w:bottom w:val="single" w:sz="6" w:space="0" w:color="auto"/>
              <w:right w:val="single" w:sz="6" w:space="0" w:color="auto"/>
            </w:tcBorders>
          </w:tcPr>
          <w:p w14:paraId="5DDA4156"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c>
          <w:tcPr>
            <w:tcW w:w="1344" w:type="dxa"/>
            <w:tcBorders>
              <w:top w:val="single" w:sz="6" w:space="0" w:color="auto"/>
              <w:left w:val="single" w:sz="6" w:space="0" w:color="auto"/>
              <w:bottom w:val="single" w:sz="6" w:space="0" w:color="auto"/>
              <w:right w:val="single" w:sz="6" w:space="0" w:color="auto"/>
            </w:tcBorders>
          </w:tcPr>
          <w:p w14:paraId="19096B9F"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7,388</w:t>
            </w:r>
          </w:p>
        </w:tc>
        <w:tc>
          <w:tcPr>
            <w:tcW w:w="1343" w:type="dxa"/>
            <w:tcBorders>
              <w:top w:val="single" w:sz="6" w:space="0" w:color="auto"/>
              <w:left w:val="single" w:sz="6" w:space="0" w:color="auto"/>
              <w:bottom w:val="single" w:sz="6" w:space="0" w:color="auto"/>
              <w:right w:val="single" w:sz="6" w:space="0" w:color="auto"/>
            </w:tcBorders>
          </w:tcPr>
          <w:p w14:paraId="1972620B"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11.9</w:t>
            </w:r>
          </w:p>
        </w:tc>
        <w:tc>
          <w:tcPr>
            <w:tcW w:w="1202" w:type="dxa"/>
            <w:tcBorders>
              <w:top w:val="single" w:sz="6" w:space="0" w:color="auto"/>
              <w:left w:val="single" w:sz="6" w:space="0" w:color="auto"/>
              <w:bottom w:val="single" w:sz="6" w:space="0" w:color="auto"/>
              <w:right w:val="single" w:sz="6" w:space="0" w:color="auto"/>
            </w:tcBorders>
          </w:tcPr>
          <w:p w14:paraId="54280B13"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61,838</w:t>
            </w:r>
          </w:p>
        </w:tc>
      </w:tr>
      <w:tr w:rsidR="00D65853" w:rsidRPr="00392E0D" w14:paraId="18288767"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1CDE5770"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18CD34D6"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44,213</w:t>
            </w:r>
          </w:p>
        </w:tc>
        <w:tc>
          <w:tcPr>
            <w:tcW w:w="1343" w:type="dxa"/>
            <w:tcBorders>
              <w:top w:val="single" w:sz="6" w:space="0" w:color="auto"/>
              <w:left w:val="single" w:sz="6" w:space="0" w:color="auto"/>
              <w:bottom w:val="single" w:sz="6" w:space="0" w:color="auto"/>
              <w:right w:val="single" w:sz="6" w:space="0" w:color="auto"/>
            </w:tcBorders>
          </w:tcPr>
          <w:p w14:paraId="1370C4B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71.2</w:t>
            </w:r>
          </w:p>
        </w:tc>
        <w:tc>
          <w:tcPr>
            <w:tcW w:w="1344" w:type="dxa"/>
            <w:tcBorders>
              <w:top w:val="single" w:sz="6" w:space="0" w:color="auto"/>
              <w:left w:val="single" w:sz="6" w:space="0" w:color="auto"/>
              <w:bottom w:val="single" w:sz="6" w:space="0" w:color="auto"/>
              <w:right w:val="single" w:sz="6" w:space="0" w:color="auto"/>
            </w:tcBorders>
          </w:tcPr>
          <w:p w14:paraId="68378B8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10,204</w:t>
            </w:r>
          </w:p>
        </w:tc>
        <w:tc>
          <w:tcPr>
            <w:tcW w:w="1343" w:type="dxa"/>
            <w:tcBorders>
              <w:top w:val="single" w:sz="6" w:space="0" w:color="auto"/>
              <w:left w:val="single" w:sz="6" w:space="0" w:color="auto"/>
              <w:bottom w:val="single" w:sz="6" w:space="0" w:color="auto"/>
              <w:right w:val="single" w:sz="6" w:space="0" w:color="auto"/>
            </w:tcBorders>
          </w:tcPr>
          <w:p w14:paraId="35F18FB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16.4</w:t>
            </w:r>
          </w:p>
        </w:tc>
        <w:tc>
          <w:tcPr>
            <w:tcW w:w="1344" w:type="dxa"/>
            <w:tcBorders>
              <w:top w:val="single" w:sz="6" w:space="0" w:color="auto"/>
              <w:left w:val="single" w:sz="6" w:space="0" w:color="auto"/>
              <w:bottom w:val="single" w:sz="6" w:space="0" w:color="auto"/>
              <w:right w:val="single" w:sz="6" w:space="0" w:color="auto"/>
            </w:tcBorders>
          </w:tcPr>
          <w:p w14:paraId="0F23441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7,719</w:t>
            </w:r>
          </w:p>
        </w:tc>
        <w:tc>
          <w:tcPr>
            <w:tcW w:w="1343" w:type="dxa"/>
            <w:tcBorders>
              <w:top w:val="single" w:sz="6" w:space="0" w:color="auto"/>
              <w:left w:val="single" w:sz="6" w:space="0" w:color="auto"/>
              <w:bottom w:val="single" w:sz="6" w:space="0" w:color="auto"/>
              <w:right w:val="single" w:sz="6" w:space="0" w:color="auto"/>
            </w:tcBorders>
          </w:tcPr>
          <w:p w14:paraId="56F8BDD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w:t>
            </w:r>
          </w:p>
        </w:tc>
        <w:tc>
          <w:tcPr>
            <w:tcW w:w="1202" w:type="dxa"/>
            <w:tcBorders>
              <w:top w:val="single" w:sz="6" w:space="0" w:color="auto"/>
              <w:left w:val="single" w:sz="6" w:space="0" w:color="auto"/>
              <w:bottom w:val="single" w:sz="6" w:space="0" w:color="auto"/>
              <w:right w:val="single" w:sz="6" w:space="0" w:color="auto"/>
            </w:tcBorders>
          </w:tcPr>
          <w:p w14:paraId="1F97A88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62,136</w:t>
            </w:r>
          </w:p>
        </w:tc>
      </w:tr>
      <w:tr w:rsidR="00D65853" w:rsidRPr="00392E0D" w14:paraId="2DF776CA"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65DF3DC7"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4051E07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42,392</w:t>
            </w:r>
          </w:p>
        </w:tc>
        <w:tc>
          <w:tcPr>
            <w:tcW w:w="1343" w:type="dxa"/>
            <w:tcBorders>
              <w:top w:val="single" w:sz="6" w:space="0" w:color="auto"/>
              <w:left w:val="single" w:sz="6" w:space="0" w:color="auto"/>
              <w:bottom w:val="single" w:sz="6" w:space="0" w:color="auto"/>
              <w:right w:val="single" w:sz="6" w:space="0" w:color="auto"/>
            </w:tcBorders>
          </w:tcPr>
          <w:p w14:paraId="201C577F"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72.9</w:t>
            </w:r>
          </w:p>
        </w:tc>
        <w:tc>
          <w:tcPr>
            <w:tcW w:w="1344" w:type="dxa"/>
            <w:tcBorders>
              <w:top w:val="single" w:sz="6" w:space="0" w:color="auto"/>
              <w:left w:val="single" w:sz="6" w:space="0" w:color="auto"/>
              <w:bottom w:val="single" w:sz="6" w:space="0" w:color="auto"/>
              <w:right w:val="single" w:sz="6" w:space="0" w:color="auto"/>
            </w:tcBorders>
          </w:tcPr>
          <w:p w14:paraId="7A55740E"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9,077</w:t>
            </w:r>
          </w:p>
        </w:tc>
        <w:tc>
          <w:tcPr>
            <w:tcW w:w="1343" w:type="dxa"/>
            <w:tcBorders>
              <w:top w:val="single" w:sz="6" w:space="0" w:color="auto"/>
              <w:left w:val="single" w:sz="6" w:space="0" w:color="auto"/>
              <w:bottom w:val="single" w:sz="6" w:space="0" w:color="auto"/>
              <w:right w:val="single" w:sz="6" w:space="0" w:color="auto"/>
            </w:tcBorders>
          </w:tcPr>
          <w:p w14:paraId="3B5243E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344" w:type="dxa"/>
            <w:tcBorders>
              <w:top w:val="single" w:sz="6" w:space="0" w:color="auto"/>
              <w:left w:val="single" w:sz="6" w:space="0" w:color="auto"/>
              <w:bottom w:val="single" w:sz="6" w:space="0" w:color="auto"/>
              <w:right w:val="single" w:sz="6" w:space="0" w:color="auto"/>
            </w:tcBorders>
          </w:tcPr>
          <w:p w14:paraId="5E03063F"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6,717</w:t>
            </w:r>
          </w:p>
        </w:tc>
        <w:tc>
          <w:tcPr>
            <w:tcW w:w="1343" w:type="dxa"/>
            <w:tcBorders>
              <w:top w:val="single" w:sz="6" w:space="0" w:color="auto"/>
              <w:left w:val="single" w:sz="6" w:space="0" w:color="auto"/>
              <w:bottom w:val="single" w:sz="6" w:space="0" w:color="auto"/>
              <w:right w:val="single" w:sz="6" w:space="0" w:color="auto"/>
            </w:tcBorders>
          </w:tcPr>
          <w:p w14:paraId="3513943A"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11.5</w:t>
            </w:r>
          </w:p>
        </w:tc>
        <w:tc>
          <w:tcPr>
            <w:tcW w:w="1202" w:type="dxa"/>
            <w:tcBorders>
              <w:top w:val="single" w:sz="6" w:space="0" w:color="auto"/>
              <w:left w:val="single" w:sz="6" w:space="0" w:color="auto"/>
              <w:bottom w:val="single" w:sz="6" w:space="0" w:color="auto"/>
              <w:right w:val="single" w:sz="6" w:space="0" w:color="auto"/>
            </w:tcBorders>
          </w:tcPr>
          <w:p w14:paraId="4B2A39C7"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58,186</w:t>
            </w:r>
          </w:p>
        </w:tc>
      </w:tr>
      <w:tr w:rsidR="00D65853" w:rsidRPr="00392E0D" w14:paraId="71399B73"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0994E1A7"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2FA174F9"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37,338</w:t>
            </w:r>
          </w:p>
        </w:tc>
        <w:tc>
          <w:tcPr>
            <w:tcW w:w="1343" w:type="dxa"/>
            <w:tcBorders>
              <w:top w:val="single" w:sz="6" w:space="0" w:color="auto"/>
              <w:left w:val="single" w:sz="6" w:space="0" w:color="auto"/>
              <w:bottom w:val="single" w:sz="6" w:space="0" w:color="auto"/>
              <w:right w:val="single" w:sz="6" w:space="0" w:color="auto"/>
            </w:tcBorders>
          </w:tcPr>
          <w:p w14:paraId="60113BD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70.8</w:t>
            </w:r>
          </w:p>
        </w:tc>
        <w:tc>
          <w:tcPr>
            <w:tcW w:w="1344" w:type="dxa"/>
            <w:tcBorders>
              <w:top w:val="single" w:sz="6" w:space="0" w:color="auto"/>
              <w:left w:val="single" w:sz="6" w:space="0" w:color="auto"/>
              <w:bottom w:val="single" w:sz="6" w:space="0" w:color="auto"/>
              <w:right w:val="single" w:sz="6" w:space="0" w:color="auto"/>
            </w:tcBorders>
          </w:tcPr>
          <w:p w14:paraId="10326B19"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9,019</w:t>
            </w:r>
          </w:p>
        </w:tc>
        <w:tc>
          <w:tcPr>
            <w:tcW w:w="1343" w:type="dxa"/>
            <w:tcBorders>
              <w:top w:val="single" w:sz="6" w:space="0" w:color="auto"/>
              <w:left w:val="single" w:sz="6" w:space="0" w:color="auto"/>
              <w:bottom w:val="single" w:sz="6" w:space="0" w:color="auto"/>
              <w:right w:val="single" w:sz="6" w:space="0" w:color="auto"/>
            </w:tcBorders>
          </w:tcPr>
          <w:p w14:paraId="79436170"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17.1</w:t>
            </w:r>
          </w:p>
        </w:tc>
        <w:tc>
          <w:tcPr>
            <w:tcW w:w="1344" w:type="dxa"/>
            <w:tcBorders>
              <w:top w:val="single" w:sz="6" w:space="0" w:color="auto"/>
              <w:left w:val="single" w:sz="6" w:space="0" w:color="auto"/>
              <w:bottom w:val="single" w:sz="6" w:space="0" w:color="auto"/>
              <w:right w:val="single" w:sz="6" w:space="0" w:color="auto"/>
            </w:tcBorders>
          </w:tcPr>
          <w:p w14:paraId="28FE1135"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6,398</w:t>
            </w:r>
          </w:p>
        </w:tc>
        <w:tc>
          <w:tcPr>
            <w:tcW w:w="1343" w:type="dxa"/>
            <w:tcBorders>
              <w:top w:val="single" w:sz="6" w:space="0" w:color="auto"/>
              <w:left w:val="single" w:sz="6" w:space="0" w:color="auto"/>
              <w:bottom w:val="single" w:sz="6" w:space="0" w:color="auto"/>
              <w:right w:val="single" w:sz="6" w:space="0" w:color="auto"/>
            </w:tcBorders>
          </w:tcPr>
          <w:p w14:paraId="35E6DA1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12.1</w:t>
            </w:r>
          </w:p>
        </w:tc>
        <w:tc>
          <w:tcPr>
            <w:tcW w:w="1202" w:type="dxa"/>
            <w:tcBorders>
              <w:top w:val="single" w:sz="6" w:space="0" w:color="auto"/>
              <w:left w:val="single" w:sz="6" w:space="0" w:color="auto"/>
              <w:bottom w:val="single" w:sz="6" w:space="0" w:color="auto"/>
              <w:right w:val="single" w:sz="6" w:space="0" w:color="auto"/>
            </w:tcBorders>
          </w:tcPr>
          <w:p w14:paraId="744AB61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52,755</w:t>
            </w:r>
          </w:p>
        </w:tc>
      </w:tr>
    </w:tbl>
    <w:p w14:paraId="009BBD80" w14:textId="68D66283" w:rsidR="00F61461" w:rsidRPr="00392E0D" w:rsidRDefault="00F61461" w:rsidP="00F61461">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69</w:t>
      </w:r>
      <w:r w:rsidRPr="00392E0D">
        <w:rPr>
          <w:rFonts w:cs="Arial"/>
        </w:rPr>
        <w:fldChar w:fldCharType="end"/>
      </w:r>
      <w:r w:rsidRPr="00392E0D">
        <w:rPr>
          <w:rFonts w:cs="Arial"/>
        </w:rPr>
        <w:tab/>
      </w:r>
      <w:r w:rsidRPr="00392E0D">
        <w:rPr>
          <w:rFonts w:eastAsiaTheme="minorHAnsi" w:cs="Arial"/>
          <w:lang w:val="en-AU"/>
        </w:rPr>
        <w:t>Queensland trends (2009 – 2021) – Emotional Maturity domain</w:t>
      </w:r>
    </w:p>
    <w:tbl>
      <w:tblPr>
        <w:tblW w:w="10236" w:type="dxa"/>
        <w:tblInd w:w="-38" w:type="dxa"/>
        <w:tblLayout w:type="fixed"/>
        <w:tblLook w:val="0000" w:firstRow="0" w:lastRow="0" w:firstColumn="0" w:lastColumn="0" w:noHBand="0" w:noVBand="0"/>
      </w:tblPr>
      <w:tblGrid>
        <w:gridCol w:w="974"/>
        <w:gridCol w:w="1323"/>
        <w:gridCol w:w="1323"/>
        <w:gridCol w:w="1323"/>
        <w:gridCol w:w="1323"/>
        <w:gridCol w:w="1323"/>
        <w:gridCol w:w="1323"/>
        <w:gridCol w:w="1324"/>
      </w:tblGrid>
      <w:tr w:rsidR="00F61461" w:rsidRPr="00392E0D" w14:paraId="25E22469"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6343D4CB"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p>
        </w:tc>
        <w:tc>
          <w:tcPr>
            <w:tcW w:w="1323" w:type="dxa"/>
            <w:tcBorders>
              <w:top w:val="single" w:sz="6" w:space="0" w:color="auto"/>
              <w:left w:val="single" w:sz="6" w:space="0" w:color="auto"/>
              <w:bottom w:val="single" w:sz="6" w:space="0" w:color="auto"/>
              <w:right w:val="single" w:sz="6" w:space="0" w:color="auto"/>
            </w:tcBorders>
            <w:vAlign w:val="bottom"/>
          </w:tcPr>
          <w:p w14:paraId="3C475786" w14:textId="1255B00B"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(n)</w:t>
            </w:r>
          </w:p>
        </w:tc>
        <w:tc>
          <w:tcPr>
            <w:tcW w:w="1323" w:type="dxa"/>
            <w:tcBorders>
              <w:top w:val="single" w:sz="6" w:space="0" w:color="auto"/>
              <w:left w:val="single" w:sz="6" w:space="0" w:color="auto"/>
              <w:bottom w:val="single" w:sz="6" w:space="0" w:color="auto"/>
              <w:right w:val="single" w:sz="6" w:space="0" w:color="auto"/>
            </w:tcBorders>
            <w:vAlign w:val="bottom"/>
          </w:tcPr>
          <w:p w14:paraId="17F5791D" w14:textId="0BC7B5D8"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w:t>
            </w:r>
          </w:p>
        </w:tc>
        <w:tc>
          <w:tcPr>
            <w:tcW w:w="1323" w:type="dxa"/>
            <w:tcBorders>
              <w:top w:val="single" w:sz="6" w:space="0" w:color="auto"/>
              <w:left w:val="single" w:sz="6" w:space="0" w:color="auto"/>
              <w:bottom w:val="single" w:sz="6" w:space="0" w:color="auto"/>
              <w:right w:val="single" w:sz="6" w:space="0" w:color="auto"/>
            </w:tcBorders>
            <w:vAlign w:val="bottom"/>
          </w:tcPr>
          <w:p w14:paraId="3F340150" w14:textId="670E5960"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(n)</w:t>
            </w:r>
          </w:p>
        </w:tc>
        <w:tc>
          <w:tcPr>
            <w:tcW w:w="1323" w:type="dxa"/>
            <w:tcBorders>
              <w:top w:val="single" w:sz="6" w:space="0" w:color="auto"/>
              <w:left w:val="single" w:sz="6" w:space="0" w:color="auto"/>
              <w:bottom w:val="single" w:sz="6" w:space="0" w:color="auto"/>
              <w:right w:val="single" w:sz="6" w:space="0" w:color="auto"/>
            </w:tcBorders>
            <w:vAlign w:val="bottom"/>
          </w:tcPr>
          <w:p w14:paraId="4923213F" w14:textId="6CB6740F"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w:t>
            </w:r>
          </w:p>
        </w:tc>
        <w:tc>
          <w:tcPr>
            <w:tcW w:w="1323" w:type="dxa"/>
            <w:tcBorders>
              <w:top w:val="single" w:sz="6" w:space="0" w:color="auto"/>
              <w:left w:val="single" w:sz="6" w:space="0" w:color="auto"/>
              <w:bottom w:val="single" w:sz="6" w:space="0" w:color="auto"/>
              <w:right w:val="single" w:sz="6" w:space="0" w:color="auto"/>
            </w:tcBorders>
            <w:vAlign w:val="bottom"/>
          </w:tcPr>
          <w:p w14:paraId="63BF36CA" w14:textId="497C82A1"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(n)</w:t>
            </w:r>
          </w:p>
        </w:tc>
        <w:tc>
          <w:tcPr>
            <w:tcW w:w="1323" w:type="dxa"/>
            <w:tcBorders>
              <w:top w:val="single" w:sz="6" w:space="0" w:color="auto"/>
              <w:left w:val="single" w:sz="6" w:space="0" w:color="auto"/>
              <w:bottom w:val="single" w:sz="6" w:space="0" w:color="auto"/>
              <w:right w:val="single" w:sz="6" w:space="0" w:color="auto"/>
            </w:tcBorders>
            <w:vAlign w:val="bottom"/>
          </w:tcPr>
          <w:p w14:paraId="39A5D978" w14:textId="0FB3FF76"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w:t>
            </w:r>
          </w:p>
        </w:tc>
        <w:tc>
          <w:tcPr>
            <w:tcW w:w="1324" w:type="dxa"/>
            <w:tcBorders>
              <w:top w:val="single" w:sz="6" w:space="0" w:color="auto"/>
              <w:left w:val="single" w:sz="6" w:space="0" w:color="auto"/>
              <w:bottom w:val="single" w:sz="6" w:space="0" w:color="auto"/>
              <w:right w:val="single" w:sz="6" w:space="0" w:color="auto"/>
            </w:tcBorders>
            <w:vAlign w:val="bottom"/>
          </w:tcPr>
          <w:p w14:paraId="2A94B4A0" w14:textId="2F27151F"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F61461" w:rsidRPr="00392E0D" w14:paraId="54996496"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6F9B9227"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23" w:type="dxa"/>
            <w:tcBorders>
              <w:top w:val="single" w:sz="6" w:space="0" w:color="auto"/>
              <w:left w:val="single" w:sz="6" w:space="0" w:color="auto"/>
              <w:bottom w:val="single" w:sz="6" w:space="0" w:color="auto"/>
              <w:right w:val="single" w:sz="6" w:space="0" w:color="auto"/>
            </w:tcBorders>
          </w:tcPr>
          <w:p w14:paraId="3E42E35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45,382</w:t>
            </w:r>
          </w:p>
        </w:tc>
        <w:tc>
          <w:tcPr>
            <w:tcW w:w="1323" w:type="dxa"/>
            <w:tcBorders>
              <w:top w:val="single" w:sz="6" w:space="0" w:color="auto"/>
              <w:left w:val="single" w:sz="6" w:space="0" w:color="auto"/>
              <w:bottom w:val="single" w:sz="6" w:space="0" w:color="auto"/>
              <w:right w:val="single" w:sz="6" w:space="0" w:color="auto"/>
            </w:tcBorders>
          </w:tcPr>
          <w:p w14:paraId="27188681"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74.1</w:t>
            </w:r>
          </w:p>
        </w:tc>
        <w:tc>
          <w:tcPr>
            <w:tcW w:w="1323" w:type="dxa"/>
            <w:tcBorders>
              <w:top w:val="single" w:sz="6" w:space="0" w:color="auto"/>
              <w:left w:val="single" w:sz="6" w:space="0" w:color="auto"/>
              <w:bottom w:val="single" w:sz="6" w:space="0" w:color="auto"/>
              <w:right w:val="single" w:sz="6" w:space="0" w:color="auto"/>
            </w:tcBorders>
          </w:tcPr>
          <w:p w14:paraId="72ECCD0A"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9,752</w:t>
            </w:r>
          </w:p>
        </w:tc>
        <w:tc>
          <w:tcPr>
            <w:tcW w:w="1323" w:type="dxa"/>
            <w:tcBorders>
              <w:top w:val="single" w:sz="6" w:space="0" w:color="auto"/>
              <w:left w:val="single" w:sz="6" w:space="0" w:color="auto"/>
              <w:bottom w:val="single" w:sz="6" w:space="0" w:color="auto"/>
              <w:right w:val="single" w:sz="6" w:space="0" w:color="auto"/>
            </w:tcBorders>
          </w:tcPr>
          <w:p w14:paraId="0182F219"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15.9</w:t>
            </w:r>
          </w:p>
        </w:tc>
        <w:tc>
          <w:tcPr>
            <w:tcW w:w="1323" w:type="dxa"/>
            <w:tcBorders>
              <w:top w:val="single" w:sz="6" w:space="0" w:color="auto"/>
              <w:left w:val="single" w:sz="6" w:space="0" w:color="auto"/>
              <w:bottom w:val="single" w:sz="6" w:space="0" w:color="auto"/>
              <w:right w:val="single" w:sz="6" w:space="0" w:color="auto"/>
            </w:tcBorders>
          </w:tcPr>
          <w:p w14:paraId="178E472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6,110</w:t>
            </w:r>
          </w:p>
        </w:tc>
        <w:tc>
          <w:tcPr>
            <w:tcW w:w="1323" w:type="dxa"/>
            <w:tcBorders>
              <w:top w:val="single" w:sz="6" w:space="0" w:color="auto"/>
              <w:left w:val="single" w:sz="6" w:space="0" w:color="auto"/>
              <w:bottom w:val="single" w:sz="6" w:space="0" w:color="auto"/>
              <w:right w:val="single" w:sz="6" w:space="0" w:color="auto"/>
            </w:tcBorders>
          </w:tcPr>
          <w:p w14:paraId="484B909C"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10.0</w:t>
            </w:r>
          </w:p>
        </w:tc>
        <w:tc>
          <w:tcPr>
            <w:tcW w:w="1324" w:type="dxa"/>
            <w:tcBorders>
              <w:top w:val="single" w:sz="6" w:space="0" w:color="auto"/>
              <w:left w:val="single" w:sz="6" w:space="0" w:color="auto"/>
              <w:bottom w:val="single" w:sz="6" w:space="0" w:color="auto"/>
              <w:right w:val="single" w:sz="6" w:space="0" w:color="auto"/>
            </w:tcBorders>
          </w:tcPr>
          <w:p w14:paraId="15F78AE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61,244</w:t>
            </w:r>
          </w:p>
        </w:tc>
      </w:tr>
      <w:tr w:rsidR="00F61461" w:rsidRPr="00392E0D" w14:paraId="32F4A6A7"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1BB4BB11"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23" w:type="dxa"/>
            <w:tcBorders>
              <w:top w:val="single" w:sz="6" w:space="0" w:color="auto"/>
              <w:left w:val="single" w:sz="6" w:space="0" w:color="auto"/>
              <w:bottom w:val="single" w:sz="6" w:space="0" w:color="auto"/>
              <w:right w:val="single" w:sz="6" w:space="0" w:color="auto"/>
            </w:tcBorders>
          </w:tcPr>
          <w:p w14:paraId="7F79363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45,192</w:t>
            </w:r>
          </w:p>
        </w:tc>
        <w:tc>
          <w:tcPr>
            <w:tcW w:w="1323" w:type="dxa"/>
            <w:tcBorders>
              <w:top w:val="single" w:sz="6" w:space="0" w:color="auto"/>
              <w:left w:val="single" w:sz="6" w:space="0" w:color="auto"/>
              <w:bottom w:val="single" w:sz="6" w:space="0" w:color="auto"/>
              <w:right w:val="single" w:sz="6" w:space="0" w:color="auto"/>
            </w:tcBorders>
          </w:tcPr>
          <w:p w14:paraId="6821E14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73.3</w:t>
            </w:r>
          </w:p>
        </w:tc>
        <w:tc>
          <w:tcPr>
            <w:tcW w:w="1323" w:type="dxa"/>
            <w:tcBorders>
              <w:top w:val="single" w:sz="6" w:space="0" w:color="auto"/>
              <w:left w:val="single" w:sz="6" w:space="0" w:color="auto"/>
              <w:bottom w:val="single" w:sz="6" w:space="0" w:color="auto"/>
              <w:right w:val="single" w:sz="6" w:space="0" w:color="auto"/>
            </w:tcBorders>
          </w:tcPr>
          <w:p w14:paraId="76CC4006"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9,988</w:t>
            </w:r>
          </w:p>
        </w:tc>
        <w:tc>
          <w:tcPr>
            <w:tcW w:w="1323" w:type="dxa"/>
            <w:tcBorders>
              <w:top w:val="single" w:sz="6" w:space="0" w:color="auto"/>
              <w:left w:val="single" w:sz="6" w:space="0" w:color="auto"/>
              <w:bottom w:val="single" w:sz="6" w:space="0" w:color="auto"/>
              <w:right w:val="single" w:sz="6" w:space="0" w:color="auto"/>
            </w:tcBorders>
          </w:tcPr>
          <w:p w14:paraId="14C1213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c>
          <w:tcPr>
            <w:tcW w:w="1323" w:type="dxa"/>
            <w:tcBorders>
              <w:top w:val="single" w:sz="6" w:space="0" w:color="auto"/>
              <w:left w:val="single" w:sz="6" w:space="0" w:color="auto"/>
              <w:bottom w:val="single" w:sz="6" w:space="0" w:color="auto"/>
              <w:right w:val="single" w:sz="6" w:space="0" w:color="auto"/>
            </w:tcBorders>
          </w:tcPr>
          <w:p w14:paraId="5023F859"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6,448</w:t>
            </w:r>
          </w:p>
        </w:tc>
        <w:tc>
          <w:tcPr>
            <w:tcW w:w="1323" w:type="dxa"/>
            <w:tcBorders>
              <w:top w:val="single" w:sz="6" w:space="0" w:color="auto"/>
              <w:left w:val="single" w:sz="6" w:space="0" w:color="auto"/>
              <w:bottom w:val="single" w:sz="6" w:space="0" w:color="auto"/>
              <w:right w:val="single" w:sz="6" w:space="0" w:color="auto"/>
            </w:tcBorders>
          </w:tcPr>
          <w:p w14:paraId="0EFB3F1C"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c>
          <w:tcPr>
            <w:tcW w:w="1324" w:type="dxa"/>
            <w:tcBorders>
              <w:top w:val="single" w:sz="6" w:space="0" w:color="auto"/>
              <w:left w:val="single" w:sz="6" w:space="0" w:color="auto"/>
              <w:bottom w:val="single" w:sz="6" w:space="0" w:color="auto"/>
              <w:right w:val="single" w:sz="6" w:space="0" w:color="auto"/>
            </w:tcBorders>
          </w:tcPr>
          <w:p w14:paraId="57B0C14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61,628</w:t>
            </w:r>
          </w:p>
        </w:tc>
      </w:tr>
      <w:tr w:rsidR="00F61461" w:rsidRPr="00392E0D" w14:paraId="63AC96A1"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6EAA1BEC"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23" w:type="dxa"/>
            <w:tcBorders>
              <w:top w:val="single" w:sz="6" w:space="0" w:color="auto"/>
              <w:left w:val="single" w:sz="6" w:space="0" w:color="auto"/>
              <w:bottom w:val="single" w:sz="6" w:space="0" w:color="auto"/>
              <w:right w:val="single" w:sz="6" w:space="0" w:color="auto"/>
            </w:tcBorders>
          </w:tcPr>
          <w:p w14:paraId="0EFE22F9"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45,529</w:t>
            </w:r>
          </w:p>
        </w:tc>
        <w:tc>
          <w:tcPr>
            <w:tcW w:w="1323" w:type="dxa"/>
            <w:tcBorders>
              <w:top w:val="single" w:sz="6" w:space="0" w:color="auto"/>
              <w:left w:val="single" w:sz="6" w:space="0" w:color="auto"/>
              <w:bottom w:val="single" w:sz="6" w:space="0" w:color="auto"/>
              <w:right w:val="single" w:sz="6" w:space="0" w:color="auto"/>
            </w:tcBorders>
          </w:tcPr>
          <w:p w14:paraId="46907636"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73.5</w:t>
            </w:r>
          </w:p>
        </w:tc>
        <w:tc>
          <w:tcPr>
            <w:tcW w:w="1323" w:type="dxa"/>
            <w:tcBorders>
              <w:top w:val="single" w:sz="6" w:space="0" w:color="auto"/>
              <w:left w:val="single" w:sz="6" w:space="0" w:color="auto"/>
              <w:bottom w:val="single" w:sz="6" w:space="0" w:color="auto"/>
              <w:right w:val="single" w:sz="6" w:space="0" w:color="auto"/>
            </w:tcBorders>
          </w:tcPr>
          <w:p w14:paraId="2F13C199"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10,164</w:t>
            </w:r>
          </w:p>
        </w:tc>
        <w:tc>
          <w:tcPr>
            <w:tcW w:w="1323" w:type="dxa"/>
            <w:tcBorders>
              <w:top w:val="single" w:sz="6" w:space="0" w:color="auto"/>
              <w:left w:val="single" w:sz="6" w:space="0" w:color="auto"/>
              <w:bottom w:val="single" w:sz="6" w:space="0" w:color="auto"/>
              <w:right w:val="single" w:sz="6" w:space="0" w:color="auto"/>
            </w:tcBorders>
          </w:tcPr>
          <w:p w14:paraId="23F6C51A"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16.4</w:t>
            </w:r>
          </w:p>
        </w:tc>
        <w:tc>
          <w:tcPr>
            <w:tcW w:w="1323" w:type="dxa"/>
            <w:tcBorders>
              <w:top w:val="single" w:sz="6" w:space="0" w:color="auto"/>
              <w:left w:val="single" w:sz="6" w:space="0" w:color="auto"/>
              <w:bottom w:val="single" w:sz="6" w:space="0" w:color="auto"/>
              <w:right w:val="single" w:sz="6" w:space="0" w:color="auto"/>
            </w:tcBorders>
          </w:tcPr>
          <w:p w14:paraId="4CF44AF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6,266</w:t>
            </w:r>
          </w:p>
        </w:tc>
        <w:tc>
          <w:tcPr>
            <w:tcW w:w="1323" w:type="dxa"/>
            <w:tcBorders>
              <w:top w:val="single" w:sz="6" w:space="0" w:color="auto"/>
              <w:left w:val="single" w:sz="6" w:space="0" w:color="auto"/>
              <w:bottom w:val="single" w:sz="6" w:space="0" w:color="auto"/>
              <w:right w:val="single" w:sz="6" w:space="0" w:color="auto"/>
            </w:tcBorders>
          </w:tcPr>
          <w:p w14:paraId="52ECBB5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324" w:type="dxa"/>
            <w:tcBorders>
              <w:top w:val="single" w:sz="6" w:space="0" w:color="auto"/>
              <w:left w:val="single" w:sz="6" w:space="0" w:color="auto"/>
              <w:bottom w:val="single" w:sz="6" w:space="0" w:color="auto"/>
              <w:right w:val="single" w:sz="6" w:space="0" w:color="auto"/>
            </w:tcBorders>
          </w:tcPr>
          <w:p w14:paraId="5EDD1CF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61,959</w:t>
            </w:r>
          </w:p>
        </w:tc>
      </w:tr>
      <w:tr w:rsidR="00F61461" w:rsidRPr="00392E0D" w14:paraId="5953DE94"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6F1B7E18"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23" w:type="dxa"/>
            <w:tcBorders>
              <w:top w:val="single" w:sz="6" w:space="0" w:color="auto"/>
              <w:left w:val="single" w:sz="6" w:space="0" w:color="auto"/>
              <w:bottom w:val="single" w:sz="6" w:space="0" w:color="auto"/>
              <w:right w:val="single" w:sz="6" w:space="0" w:color="auto"/>
            </w:tcBorders>
          </w:tcPr>
          <w:p w14:paraId="0CC1563C"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43,459</w:t>
            </w:r>
          </w:p>
        </w:tc>
        <w:tc>
          <w:tcPr>
            <w:tcW w:w="1323" w:type="dxa"/>
            <w:tcBorders>
              <w:top w:val="single" w:sz="6" w:space="0" w:color="auto"/>
              <w:left w:val="single" w:sz="6" w:space="0" w:color="auto"/>
              <w:bottom w:val="single" w:sz="6" w:space="0" w:color="auto"/>
              <w:right w:val="single" w:sz="6" w:space="0" w:color="auto"/>
            </w:tcBorders>
          </w:tcPr>
          <w:p w14:paraId="7015E47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74.9</w:t>
            </w:r>
          </w:p>
        </w:tc>
        <w:tc>
          <w:tcPr>
            <w:tcW w:w="1323" w:type="dxa"/>
            <w:tcBorders>
              <w:top w:val="single" w:sz="6" w:space="0" w:color="auto"/>
              <w:left w:val="single" w:sz="6" w:space="0" w:color="auto"/>
              <w:bottom w:val="single" w:sz="6" w:space="0" w:color="auto"/>
              <w:right w:val="single" w:sz="6" w:space="0" w:color="auto"/>
            </w:tcBorders>
          </w:tcPr>
          <w:p w14:paraId="12EB34BA"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9,161</w:t>
            </w:r>
          </w:p>
        </w:tc>
        <w:tc>
          <w:tcPr>
            <w:tcW w:w="1323" w:type="dxa"/>
            <w:tcBorders>
              <w:top w:val="single" w:sz="6" w:space="0" w:color="auto"/>
              <w:left w:val="single" w:sz="6" w:space="0" w:color="auto"/>
              <w:bottom w:val="single" w:sz="6" w:space="0" w:color="auto"/>
              <w:right w:val="single" w:sz="6" w:space="0" w:color="auto"/>
            </w:tcBorders>
          </w:tcPr>
          <w:p w14:paraId="645288BA"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w:t>
            </w:r>
          </w:p>
        </w:tc>
        <w:tc>
          <w:tcPr>
            <w:tcW w:w="1323" w:type="dxa"/>
            <w:tcBorders>
              <w:top w:val="single" w:sz="6" w:space="0" w:color="auto"/>
              <w:left w:val="single" w:sz="6" w:space="0" w:color="auto"/>
              <w:bottom w:val="single" w:sz="6" w:space="0" w:color="auto"/>
              <w:right w:val="single" w:sz="6" w:space="0" w:color="auto"/>
            </w:tcBorders>
          </w:tcPr>
          <w:p w14:paraId="4D543A83"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5,368</w:t>
            </w:r>
          </w:p>
        </w:tc>
        <w:tc>
          <w:tcPr>
            <w:tcW w:w="1323" w:type="dxa"/>
            <w:tcBorders>
              <w:top w:val="single" w:sz="6" w:space="0" w:color="auto"/>
              <w:left w:val="single" w:sz="6" w:space="0" w:color="auto"/>
              <w:bottom w:val="single" w:sz="6" w:space="0" w:color="auto"/>
              <w:right w:val="single" w:sz="6" w:space="0" w:color="auto"/>
            </w:tcBorders>
          </w:tcPr>
          <w:p w14:paraId="33557F7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w:t>
            </w:r>
          </w:p>
        </w:tc>
        <w:tc>
          <w:tcPr>
            <w:tcW w:w="1324" w:type="dxa"/>
            <w:tcBorders>
              <w:top w:val="single" w:sz="6" w:space="0" w:color="auto"/>
              <w:left w:val="single" w:sz="6" w:space="0" w:color="auto"/>
              <w:bottom w:val="single" w:sz="6" w:space="0" w:color="auto"/>
              <w:right w:val="single" w:sz="6" w:space="0" w:color="auto"/>
            </w:tcBorders>
          </w:tcPr>
          <w:p w14:paraId="7208DEAF"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57,988</w:t>
            </w:r>
          </w:p>
        </w:tc>
      </w:tr>
      <w:tr w:rsidR="00F61461" w:rsidRPr="00392E0D" w14:paraId="7A7BDBB8"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018EA91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23" w:type="dxa"/>
            <w:tcBorders>
              <w:top w:val="single" w:sz="6" w:space="0" w:color="auto"/>
              <w:left w:val="single" w:sz="6" w:space="0" w:color="auto"/>
              <w:bottom w:val="single" w:sz="6" w:space="0" w:color="auto"/>
              <w:right w:val="single" w:sz="6" w:space="0" w:color="auto"/>
            </w:tcBorders>
          </w:tcPr>
          <w:p w14:paraId="58FA6CB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37,576</w:t>
            </w:r>
          </w:p>
        </w:tc>
        <w:tc>
          <w:tcPr>
            <w:tcW w:w="1323" w:type="dxa"/>
            <w:tcBorders>
              <w:top w:val="single" w:sz="6" w:space="0" w:color="auto"/>
              <w:left w:val="single" w:sz="6" w:space="0" w:color="auto"/>
              <w:bottom w:val="single" w:sz="6" w:space="0" w:color="auto"/>
              <w:right w:val="single" w:sz="6" w:space="0" w:color="auto"/>
            </w:tcBorders>
          </w:tcPr>
          <w:p w14:paraId="1A2A7923"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71.5</w:t>
            </w:r>
          </w:p>
        </w:tc>
        <w:tc>
          <w:tcPr>
            <w:tcW w:w="1323" w:type="dxa"/>
            <w:tcBorders>
              <w:top w:val="single" w:sz="6" w:space="0" w:color="auto"/>
              <w:left w:val="single" w:sz="6" w:space="0" w:color="auto"/>
              <w:bottom w:val="single" w:sz="6" w:space="0" w:color="auto"/>
              <w:right w:val="single" w:sz="6" w:space="0" w:color="auto"/>
            </w:tcBorders>
          </w:tcPr>
          <w:p w14:paraId="6A75F6EC"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9,210</w:t>
            </w:r>
          </w:p>
        </w:tc>
        <w:tc>
          <w:tcPr>
            <w:tcW w:w="1323" w:type="dxa"/>
            <w:tcBorders>
              <w:top w:val="single" w:sz="6" w:space="0" w:color="auto"/>
              <w:left w:val="single" w:sz="6" w:space="0" w:color="auto"/>
              <w:bottom w:val="single" w:sz="6" w:space="0" w:color="auto"/>
              <w:right w:val="single" w:sz="6" w:space="0" w:color="auto"/>
            </w:tcBorders>
          </w:tcPr>
          <w:p w14:paraId="4A8EB950"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w:t>
            </w:r>
          </w:p>
        </w:tc>
        <w:tc>
          <w:tcPr>
            <w:tcW w:w="1323" w:type="dxa"/>
            <w:tcBorders>
              <w:top w:val="single" w:sz="6" w:space="0" w:color="auto"/>
              <w:left w:val="single" w:sz="6" w:space="0" w:color="auto"/>
              <w:bottom w:val="single" w:sz="6" w:space="0" w:color="auto"/>
              <w:right w:val="single" w:sz="6" w:space="0" w:color="auto"/>
            </w:tcBorders>
          </w:tcPr>
          <w:p w14:paraId="60681C6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5,802</w:t>
            </w:r>
          </w:p>
        </w:tc>
        <w:tc>
          <w:tcPr>
            <w:tcW w:w="1323" w:type="dxa"/>
            <w:tcBorders>
              <w:top w:val="single" w:sz="6" w:space="0" w:color="auto"/>
              <w:left w:val="single" w:sz="6" w:space="0" w:color="auto"/>
              <w:bottom w:val="single" w:sz="6" w:space="0" w:color="auto"/>
              <w:right w:val="single" w:sz="6" w:space="0" w:color="auto"/>
            </w:tcBorders>
          </w:tcPr>
          <w:p w14:paraId="1515D22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11.0</w:t>
            </w:r>
          </w:p>
        </w:tc>
        <w:tc>
          <w:tcPr>
            <w:tcW w:w="1324" w:type="dxa"/>
            <w:tcBorders>
              <w:top w:val="single" w:sz="6" w:space="0" w:color="auto"/>
              <w:left w:val="single" w:sz="6" w:space="0" w:color="auto"/>
              <w:bottom w:val="single" w:sz="6" w:space="0" w:color="auto"/>
              <w:right w:val="single" w:sz="6" w:space="0" w:color="auto"/>
            </w:tcBorders>
          </w:tcPr>
          <w:p w14:paraId="012B7032"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52,588</w:t>
            </w:r>
          </w:p>
        </w:tc>
      </w:tr>
    </w:tbl>
    <w:p w14:paraId="6C2C721E" w14:textId="7A45FA90" w:rsidR="00F61461" w:rsidRPr="00392E0D" w:rsidRDefault="00F61461" w:rsidP="00F61461">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70</w:t>
      </w:r>
      <w:r w:rsidRPr="00392E0D">
        <w:rPr>
          <w:rFonts w:cs="Arial"/>
        </w:rPr>
        <w:fldChar w:fldCharType="end"/>
      </w:r>
      <w:r w:rsidRPr="00392E0D">
        <w:rPr>
          <w:rFonts w:cs="Arial"/>
        </w:rPr>
        <w:tab/>
      </w:r>
      <w:r w:rsidRPr="00392E0D">
        <w:rPr>
          <w:rFonts w:eastAsiaTheme="minorHAnsi" w:cs="Arial"/>
          <w:lang w:val="en-AU"/>
        </w:rPr>
        <w:t>Queensland trends (2009 – 2021) – Language and cognitive skills (school-based) domain</w:t>
      </w:r>
    </w:p>
    <w:tbl>
      <w:tblPr>
        <w:tblW w:w="10236" w:type="dxa"/>
        <w:tblInd w:w="-38" w:type="dxa"/>
        <w:tblLayout w:type="fixed"/>
        <w:tblLook w:val="0000" w:firstRow="0" w:lastRow="0" w:firstColumn="0" w:lastColumn="0" w:noHBand="0" w:noVBand="0"/>
      </w:tblPr>
      <w:tblGrid>
        <w:gridCol w:w="974"/>
        <w:gridCol w:w="1323"/>
        <w:gridCol w:w="1323"/>
        <w:gridCol w:w="1323"/>
        <w:gridCol w:w="1323"/>
        <w:gridCol w:w="1323"/>
        <w:gridCol w:w="1323"/>
        <w:gridCol w:w="1324"/>
      </w:tblGrid>
      <w:tr w:rsidR="00F61461" w:rsidRPr="00392E0D" w14:paraId="13A68F7B"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5FF7C9C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p>
        </w:tc>
        <w:tc>
          <w:tcPr>
            <w:tcW w:w="1323" w:type="dxa"/>
            <w:tcBorders>
              <w:top w:val="single" w:sz="6" w:space="0" w:color="auto"/>
              <w:left w:val="single" w:sz="6" w:space="0" w:color="auto"/>
              <w:bottom w:val="single" w:sz="6" w:space="0" w:color="auto"/>
              <w:right w:val="single" w:sz="6" w:space="0" w:color="auto"/>
            </w:tcBorders>
            <w:vAlign w:val="bottom"/>
          </w:tcPr>
          <w:p w14:paraId="400464DB" w14:textId="703D3307"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(n)</w:t>
            </w:r>
          </w:p>
        </w:tc>
        <w:tc>
          <w:tcPr>
            <w:tcW w:w="1323" w:type="dxa"/>
            <w:tcBorders>
              <w:top w:val="single" w:sz="6" w:space="0" w:color="auto"/>
              <w:left w:val="single" w:sz="6" w:space="0" w:color="auto"/>
              <w:bottom w:val="single" w:sz="6" w:space="0" w:color="auto"/>
              <w:right w:val="single" w:sz="6" w:space="0" w:color="auto"/>
            </w:tcBorders>
            <w:vAlign w:val="bottom"/>
          </w:tcPr>
          <w:p w14:paraId="039DFAAE" w14:textId="5CC925DC"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w:t>
            </w:r>
          </w:p>
        </w:tc>
        <w:tc>
          <w:tcPr>
            <w:tcW w:w="1323" w:type="dxa"/>
            <w:tcBorders>
              <w:top w:val="single" w:sz="6" w:space="0" w:color="auto"/>
              <w:left w:val="single" w:sz="6" w:space="0" w:color="auto"/>
              <w:bottom w:val="single" w:sz="6" w:space="0" w:color="auto"/>
              <w:right w:val="single" w:sz="6" w:space="0" w:color="auto"/>
            </w:tcBorders>
            <w:vAlign w:val="bottom"/>
          </w:tcPr>
          <w:p w14:paraId="5EA6A5DF" w14:textId="3EA67268"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(n)</w:t>
            </w:r>
          </w:p>
        </w:tc>
        <w:tc>
          <w:tcPr>
            <w:tcW w:w="1323" w:type="dxa"/>
            <w:tcBorders>
              <w:top w:val="single" w:sz="6" w:space="0" w:color="auto"/>
              <w:left w:val="single" w:sz="6" w:space="0" w:color="auto"/>
              <w:bottom w:val="single" w:sz="6" w:space="0" w:color="auto"/>
              <w:right w:val="single" w:sz="6" w:space="0" w:color="auto"/>
            </w:tcBorders>
            <w:vAlign w:val="bottom"/>
          </w:tcPr>
          <w:p w14:paraId="3A3652D9" w14:textId="4D81BDCC"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w:t>
            </w:r>
          </w:p>
        </w:tc>
        <w:tc>
          <w:tcPr>
            <w:tcW w:w="1323" w:type="dxa"/>
            <w:tcBorders>
              <w:top w:val="single" w:sz="6" w:space="0" w:color="auto"/>
              <w:left w:val="single" w:sz="6" w:space="0" w:color="auto"/>
              <w:bottom w:val="single" w:sz="6" w:space="0" w:color="auto"/>
              <w:right w:val="single" w:sz="6" w:space="0" w:color="auto"/>
            </w:tcBorders>
            <w:vAlign w:val="bottom"/>
          </w:tcPr>
          <w:p w14:paraId="51152BD1" w14:textId="10FD8E70"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(n)</w:t>
            </w:r>
          </w:p>
        </w:tc>
        <w:tc>
          <w:tcPr>
            <w:tcW w:w="1323" w:type="dxa"/>
            <w:tcBorders>
              <w:top w:val="single" w:sz="6" w:space="0" w:color="auto"/>
              <w:left w:val="single" w:sz="6" w:space="0" w:color="auto"/>
              <w:bottom w:val="single" w:sz="6" w:space="0" w:color="auto"/>
              <w:right w:val="single" w:sz="6" w:space="0" w:color="auto"/>
            </w:tcBorders>
            <w:vAlign w:val="bottom"/>
          </w:tcPr>
          <w:p w14:paraId="343EDABA" w14:textId="503865A3"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w:t>
            </w:r>
          </w:p>
        </w:tc>
        <w:tc>
          <w:tcPr>
            <w:tcW w:w="1324" w:type="dxa"/>
            <w:tcBorders>
              <w:top w:val="single" w:sz="6" w:space="0" w:color="auto"/>
              <w:left w:val="single" w:sz="6" w:space="0" w:color="auto"/>
              <w:bottom w:val="single" w:sz="6" w:space="0" w:color="auto"/>
              <w:right w:val="single" w:sz="6" w:space="0" w:color="auto"/>
            </w:tcBorders>
            <w:vAlign w:val="bottom"/>
          </w:tcPr>
          <w:p w14:paraId="6A59D754" w14:textId="124E6FF3"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F61461" w:rsidRPr="00392E0D" w14:paraId="21905642"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77DB0C9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23" w:type="dxa"/>
            <w:tcBorders>
              <w:top w:val="single" w:sz="6" w:space="0" w:color="auto"/>
              <w:left w:val="single" w:sz="6" w:space="0" w:color="auto"/>
              <w:bottom w:val="single" w:sz="6" w:space="0" w:color="auto"/>
              <w:right w:val="single" w:sz="6" w:space="0" w:color="auto"/>
            </w:tcBorders>
          </w:tcPr>
          <w:p w14:paraId="297FE650"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49,548</w:t>
            </w:r>
          </w:p>
        </w:tc>
        <w:tc>
          <w:tcPr>
            <w:tcW w:w="1323" w:type="dxa"/>
            <w:tcBorders>
              <w:top w:val="single" w:sz="6" w:space="0" w:color="auto"/>
              <w:left w:val="single" w:sz="6" w:space="0" w:color="auto"/>
              <w:bottom w:val="single" w:sz="6" w:space="0" w:color="auto"/>
              <w:right w:val="single" w:sz="6" w:space="0" w:color="auto"/>
            </w:tcBorders>
          </w:tcPr>
          <w:p w14:paraId="2AB3478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80.7</w:t>
            </w:r>
          </w:p>
        </w:tc>
        <w:tc>
          <w:tcPr>
            <w:tcW w:w="1323" w:type="dxa"/>
            <w:tcBorders>
              <w:top w:val="single" w:sz="6" w:space="0" w:color="auto"/>
              <w:left w:val="single" w:sz="6" w:space="0" w:color="auto"/>
              <w:bottom w:val="single" w:sz="6" w:space="0" w:color="auto"/>
              <w:right w:val="single" w:sz="6" w:space="0" w:color="auto"/>
            </w:tcBorders>
          </w:tcPr>
          <w:p w14:paraId="3ACBF649"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6,712</w:t>
            </w:r>
          </w:p>
        </w:tc>
        <w:tc>
          <w:tcPr>
            <w:tcW w:w="1323" w:type="dxa"/>
            <w:tcBorders>
              <w:top w:val="single" w:sz="6" w:space="0" w:color="auto"/>
              <w:left w:val="single" w:sz="6" w:space="0" w:color="auto"/>
              <w:bottom w:val="single" w:sz="6" w:space="0" w:color="auto"/>
              <w:right w:val="single" w:sz="6" w:space="0" w:color="auto"/>
            </w:tcBorders>
          </w:tcPr>
          <w:p w14:paraId="3DB42C1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10.9</w:t>
            </w:r>
          </w:p>
        </w:tc>
        <w:tc>
          <w:tcPr>
            <w:tcW w:w="1323" w:type="dxa"/>
            <w:tcBorders>
              <w:top w:val="single" w:sz="6" w:space="0" w:color="auto"/>
              <w:left w:val="single" w:sz="6" w:space="0" w:color="auto"/>
              <w:bottom w:val="single" w:sz="6" w:space="0" w:color="auto"/>
              <w:right w:val="single" w:sz="6" w:space="0" w:color="auto"/>
            </w:tcBorders>
          </w:tcPr>
          <w:p w14:paraId="440CDCA1"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5,127</w:t>
            </w:r>
          </w:p>
        </w:tc>
        <w:tc>
          <w:tcPr>
            <w:tcW w:w="1323" w:type="dxa"/>
            <w:tcBorders>
              <w:top w:val="single" w:sz="6" w:space="0" w:color="auto"/>
              <w:left w:val="single" w:sz="6" w:space="0" w:color="auto"/>
              <w:bottom w:val="single" w:sz="6" w:space="0" w:color="auto"/>
              <w:right w:val="single" w:sz="6" w:space="0" w:color="auto"/>
            </w:tcBorders>
          </w:tcPr>
          <w:p w14:paraId="3C78D7A4"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w:t>
            </w:r>
          </w:p>
        </w:tc>
        <w:tc>
          <w:tcPr>
            <w:tcW w:w="1324" w:type="dxa"/>
            <w:tcBorders>
              <w:top w:val="single" w:sz="6" w:space="0" w:color="auto"/>
              <w:left w:val="single" w:sz="6" w:space="0" w:color="auto"/>
              <w:bottom w:val="single" w:sz="6" w:space="0" w:color="auto"/>
              <w:right w:val="single" w:sz="6" w:space="0" w:color="auto"/>
            </w:tcBorders>
          </w:tcPr>
          <w:p w14:paraId="02F58F8A"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61,387</w:t>
            </w:r>
          </w:p>
        </w:tc>
      </w:tr>
      <w:tr w:rsidR="00F61461" w:rsidRPr="00392E0D" w14:paraId="338486E7"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3949F380"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23" w:type="dxa"/>
            <w:tcBorders>
              <w:top w:val="single" w:sz="6" w:space="0" w:color="auto"/>
              <w:left w:val="single" w:sz="6" w:space="0" w:color="auto"/>
              <w:bottom w:val="single" w:sz="6" w:space="0" w:color="auto"/>
              <w:right w:val="single" w:sz="6" w:space="0" w:color="auto"/>
            </w:tcBorders>
          </w:tcPr>
          <w:p w14:paraId="650F57F4"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50,909</w:t>
            </w:r>
          </w:p>
        </w:tc>
        <w:tc>
          <w:tcPr>
            <w:tcW w:w="1323" w:type="dxa"/>
            <w:tcBorders>
              <w:top w:val="single" w:sz="6" w:space="0" w:color="auto"/>
              <w:left w:val="single" w:sz="6" w:space="0" w:color="auto"/>
              <w:bottom w:val="single" w:sz="6" w:space="0" w:color="auto"/>
              <w:right w:val="single" w:sz="6" w:space="0" w:color="auto"/>
            </w:tcBorders>
          </w:tcPr>
          <w:p w14:paraId="18AE1F6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82.4</w:t>
            </w:r>
          </w:p>
        </w:tc>
        <w:tc>
          <w:tcPr>
            <w:tcW w:w="1323" w:type="dxa"/>
            <w:tcBorders>
              <w:top w:val="single" w:sz="6" w:space="0" w:color="auto"/>
              <w:left w:val="single" w:sz="6" w:space="0" w:color="auto"/>
              <w:bottom w:val="single" w:sz="6" w:space="0" w:color="auto"/>
              <w:right w:val="single" w:sz="6" w:space="0" w:color="auto"/>
            </w:tcBorders>
          </w:tcPr>
          <w:p w14:paraId="6AF7A49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5,925</w:t>
            </w:r>
          </w:p>
        </w:tc>
        <w:tc>
          <w:tcPr>
            <w:tcW w:w="1323" w:type="dxa"/>
            <w:tcBorders>
              <w:top w:val="single" w:sz="6" w:space="0" w:color="auto"/>
              <w:left w:val="single" w:sz="6" w:space="0" w:color="auto"/>
              <w:bottom w:val="single" w:sz="6" w:space="0" w:color="auto"/>
              <w:right w:val="single" w:sz="6" w:space="0" w:color="auto"/>
            </w:tcBorders>
          </w:tcPr>
          <w:p w14:paraId="3972C79E"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w:t>
            </w:r>
          </w:p>
        </w:tc>
        <w:tc>
          <w:tcPr>
            <w:tcW w:w="1323" w:type="dxa"/>
            <w:tcBorders>
              <w:top w:val="single" w:sz="6" w:space="0" w:color="auto"/>
              <w:left w:val="single" w:sz="6" w:space="0" w:color="auto"/>
              <w:bottom w:val="single" w:sz="6" w:space="0" w:color="auto"/>
              <w:right w:val="single" w:sz="6" w:space="0" w:color="auto"/>
            </w:tcBorders>
          </w:tcPr>
          <w:p w14:paraId="0360D53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4,947</w:t>
            </w:r>
          </w:p>
        </w:tc>
        <w:tc>
          <w:tcPr>
            <w:tcW w:w="1323" w:type="dxa"/>
            <w:tcBorders>
              <w:top w:val="single" w:sz="6" w:space="0" w:color="auto"/>
              <w:left w:val="single" w:sz="6" w:space="0" w:color="auto"/>
              <w:bottom w:val="single" w:sz="6" w:space="0" w:color="auto"/>
              <w:right w:val="single" w:sz="6" w:space="0" w:color="auto"/>
            </w:tcBorders>
          </w:tcPr>
          <w:p w14:paraId="34E13AA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w:t>
            </w:r>
          </w:p>
        </w:tc>
        <w:tc>
          <w:tcPr>
            <w:tcW w:w="1324" w:type="dxa"/>
            <w:tcBorders>
              <w:top w:val="single" w:sz="6" w:space="0" w:color="auto"/>
              <w:left w:val="single" w:sz="6" w:space="0" w:color="auto"/>
              <w:bottom w:val="single" w:sz="6" w:space="0" w:color="auto"/>
              <w:right w:val="single" w:sz="6" w:space="0" w:color="auto"/>
            </w:tcBorders>
          </w:tcPr>
          <w:p w14:paraId="3F94336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61,781</w:t>
            </w:r>
          </w:p>
        </w:tc>
      </w:tr>
      <w:tr w:rsidR="00F61461" w:rsidRPr="00392E0D" w14:paraId="5C8FBFC8"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7E382441"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23" w:type="dxa"/>
            <w:tcBorders>
              <w:top w:val="single" w:sz="6" w:space="0" w:color="auto"/>
              <w:left w:val="single" w:sz="6" w:space="0" w:color="auto"/>
              <w:bottom w:val="single" w:sz="6" w:space="0" w:color="auto"/>
              <w:right w:val="single" w:sz="6" w:space="0" w:color="auto"/>
            </w:tcBorders>
          </w:tcPr>
          <w:p w14:paraId="4AD3D7BC"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51,100</w:t>
            </w:r>
          </w:p>
        </w:tc>
        <w:tc>
          <w:tcPr>
            <w:tcW w:w="1323" w:type="dxa"/>
            <w:tcBorders>
              <w:top w:val="single" w:sz="6" w:space="0" w:color="auto"/>
              <w:left w:val="single" w:sz="6" w:space="0" w:color="auto"/>
              <w:bottom w:val="single" w:sz="6" w:space="0" w:color="auto"/>
              <w:right w:val="single" w:sz="6" w:space="0" w:color="auto"/>
            </w:tcBorders>
          </w:tcPr>
          <w:p w14:paraId="3C08268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82.3</w:t>
            </w:r>
          </w:p>
        </w:tc>
        <w:tc>
          <w:tcPr>
            <w:tcW w:w="1323" w:type="dxa"/>
            <w:tcBorders>
              <w:top w:val="single" w:sz="6" w:space="0" w:color="auto"/>
              <w:left w:val="single" w:sz="6" w:space="0" w:color="auto"/>
              <w:bottom w:val="single" w:sz="6" w:space="0" w:color="auto"/>
              <w:right w:val="single" w:sz="6" w:space="0" w:color="auto"/>
            </w:tcBorders>
          </w:tcPr>
          <w:p w14:paraId="1FBB0414"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6,026</w:t>
            </w:r>
          </w:p>
        </w:tc>
        <w:tc>
          <w:tcPr>
            <w:tcW w:w="1323" w:type="dxa"/>
            <w:tcBorders>
              <w:top w:val="single" w:sz="6" w:space="0" w:color="auto"/>
              <w:left w:val="single" w:sz="6" w:space="0" w:color="auto"/>
              <w:bottom w:val="single" w:sz="6" w:space="0" w:color="auto"/>
              <w:right w:val="single" w:sz="6" w:space="0" w:color="auto"/>
            </w:tcBorders>
          </w:tcPr>
          <w:p w14:paraId="6498307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w:t>
            </w:r>
          </w:p>
        </w:tc>
        <w:tc>
          <w:tcPr>
            <w:tcW w:w="1323" w:type="dxa"/>
            <w:tcBorders>
              <w:top w:val="single" w:sz="6" w:space="0" w:color="auto"/>
              <w:left w:val="single" w:sz="6" w:space="0" w:color="auto"/>
              <w:bottom w:val="single" w:sz="6" w:space="0" w:color="auto"/>
              <w:right w:val="single" w:sz="6" w:space="0" w:color="auto"/>
            </w:tcBorders>
          </w:tcPr>
          <w:p w14:paraId="3D88C7E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5,000</w:t>
            </w:r>
          </w:p>
        </w:tc>
        <w:tc>
          <w:tcPr>
            <w:tcW w:w="1323" w:type="dxa"/>
            <w:tcBorders>
              <w:top w:val="single" w:sz="6" w:space="0" w:color="auto"/>
              <w:left w:val="single" w:sz="6" w:space="0" w:color="auto"/>
              <w:bottom w:val="single" w:sz="6" w:space="0" w:color="auto"/>
              <w:right w:val="single" w:sz="6" w:space="0" w:color="auto"/>
            </w:tcBorders>
          </w:tcPr>
          <w:p w14:paraId="436903D7"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w:t>
            </w:r>
          </w:p>
        </w:tc>
        <w:tc>
          <w:tcPr>
            <w:tcW w:w="1324" w:type="dxa"/>
            <w:tcBorders>
              <w:top w:val="single" w:sz="6" w:space="0" w:color="auto"/>
              <w:left w:val="single" w:sz="6" w:space="0" w:color="auto"/>
              <w:bottom w:val="single" w:sz="6" w:space="0" w:color="auto"/>
              <w:right w:val="single" w:sz="6" w:space="0" w:color="auto"/>
            </w:tcBorders>
          </w:tcPr>
          <w:p w14:paraId="2EC527AC"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62,126</w:t>
            </w:r>
          </w:p>
        </w:tc>
      </w:tr>
      <w:tr w:rsidR="00F61461" w:rsidRPr="00392E0D" w14:paraId="6E930A8F"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11BD54B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23" w:type="dxa"/>
            <w:tcBorders>
              <w:top w:val="single" w:sz="6" w:space="0" w:color="auto"/>
              <w:left w:val="single" w:sz="6" w:space="0" w:color="auto"/>
              <w:bottom w:val="single" w:sz="6" w:space="0" w:color="auto"/>
              <w:right w:val="single" w:sz="6" w:space="0" w:color="auto"/>
            </w:tcBorders>
          </w:tcPr>
          <w:p w14:paraId="2768C4E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45,632</w:t>
            </w:r>
          </w:p>
        </w:tc>
        <w:tc>
          <w:tcPr>
            <w:tcW w:w="1323" w:type="dxa"/>
            <w:tcBorders>
              <w:top w:val="single" w:sz="6" w:space="0" w:color="auto"/>
              <w:left w:val="single" w:sz="6" w:space="0" w:color="auto"/>
              <w:bottom w:val="single" w:sz="6" w:space="0" w:color="auto"/>
              <w:right w:val="single" w:sz="6" w:space="0" w:color="auto"/>
            </w:tcBorders>
          </w:tcPr>
          <w:p w14:paraId="7955CCFE"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78.5</w:t>
            </w:r>
          </w:p>
        </w:tc>
        <w:tc>
          <w:tcPr>
            <w:tcW w:w="1323" w:type="dxa"/>
            <w:tcBorders>
              <w:top w:val="single" w:sz="6" w:space="0" w:color="auto"/>
              <w:left w:val="single" w:sz="6" w:space="0" w:color="auto"/>
              <w:bottom w:val="single" w:sz="6" w:space="0" w:color="auto"/>
              <w:right w:val="single" w:sz="6" w:space="0" w:color="auto"/>
            </w:tcBorders>
          </w:tcPr>
          <w:p w14:paraId="6BA623A2"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7,186</w:t>
            </w:r>
          </w:p>
        </w:tc>
        <w:tc>
          <w:tcPr>
            <w:tcW w:w="1323" w:type="dxa"/>
            <w:tcBorders>
              <w:top w:val="single" w:sz="6" w:space="0" w:color="auto"/>
              <w:left w:val="single" w:sz="6" w:space="0" w:color="auto"/>
              <w:bottom w:val="single" w:sz="6" w:space="0" w:color="auto"/>
              <w:right w:val="single" w:sz="6" w:space="0" w:color="auto"/>
            </w:tcBorders>
          </w:tcPr>
          <w:p w14:paraId="5FB1E553"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w:t>
            </w:r>
          </w:p>
        </w:tc>
        <w:tc>
          <w:tcPr>
            <w:tcW w:w="1323" w:type="dxa"/>
            <w:tcBorders>
              <w:top w:val="single" w:sz="6" w:space="0" w:color="auto"/>
              <w:left w:val="single" w:sz="6" w:space="0" w:color="auto"/>
              <w:bottom w:val="single" w:sz="6" w:space="0" w:color="auto"/>
              <w:right w:val="single" w:sz="6" w:space="0" w:color="auto"/>
            </w:tcBorders>
          </w:tcPr>
          <w:p w14:paraId="46B79B83"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5,304</w:t>
            </w:r>
          </w:p>
        </w:tc>
        <w:tc>
          <w:tcPr>
            <w:tcW w:w="1323" w:type="dxa"/>
            <w:tcBorders>
              <w:top w:val="single" w:sz="6" w:space="0" w:color="auto"/>
              <w:left w:val="single" w:sz="6" w:space="0" w:color="auto"/>
              <w:bottom w:val="single" w:sz="6" w:space="0" w:color="auto"/>
              <w:right w:val="single" w:sz="6" w:space="0" w:color="auto"/>
            </w:tcBorders>
          </w:tcPr>
          <w:p w14:paraId="0CD5BBD2"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9.1</w:t>
            </w:r>
          </w:p>
        </w:tc>
        <w:tc>
          <w:tcPr>
            <w:tcW w:w="1324" w:type="dxa"/>
            <w:tcBorders>
              <w:top w:val="single" w:sz="6" w:space="0" w:color="auto"/>
              <w:left w:val="single" w:sz="6" w:space="0" w:color="auto"/>
              <w:bottom w:val="single" w:sz="6" w:space="0" w:color="auto"/>
              <w:right w:val="single" w:sz="6" w:space="0" w:color="auto"/>
            </w:tcBorders>
          </w:tcPr>
          <w:p w14:paraId="7E9328D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58,122</w:t>
            </w:r>
          </w:p>
        </w:tc>
      </w:tr>
      <w:tr w:rsidR="00F61461" w:rsidRPr="00392E0D" w14:paraId="35E0FE45"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1A09085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23" w:type="dxa"/>
            <w:tcBorders>
              <w:top w:val="single" w:sz="6" w:space="0" w:color="auto"/>
              <w:left w:val="single" w:sz="6" w:space="0" w:color="auto"/>
              <w:bottom w:val="single" w:sz="6" w:space="0" w:color="auto"/>
              <w:right w:val="single" w:sz="6" w:space="0" w:color="auto"/>
            </w:tcBorders>
          </w:tcPr>
          <w:p w14:paraId="6792875D"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32,052</w:t>
            </w:r>
          </w:p>
        </w:tc>
        <w:tc>
          <w:tcPr>
            <w:tcW w:w="1323" w:type="dxa"/>
            <w:tcBorders>
              <w:top w:val="single" w:sz="6" w:space="0" w:color="auto"/>
              <w:left w:val="single" w:sz="6" w:space="0" w:color="auto"/>
              <w:bottom w:val="single" w:sz="6" w:space="0" w:color="auto"/>
              <w:right w:val="single" w:sz="6" w:space="0" w:color="auto"/>
            </w:tcBorders>
          </w:tcPr>
          <w:p w14:paraId="7B5FE1BC"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60.9</w:t>
            </w:r>
          </w:p>
        </w:tc>
        <w:tc>
          <w:tcPr>
            <w:tcW w:w="1323" w:type="dxa"/>
            <w:tcBorders>
              <w:top w:val="single" w:sz="6" w:space="0" w:color="auto"/>
              <w:left w:val="single" w:sz="6" w:space="0" w:color="auto"/>
              <w:bottom w:val="single" w:sz="6" w:space="0" w:color="auto"/>
              <w:right w:val="single" w:sz="6" w:space="0" w:color="auto"/>
            </w:tcBorders>
          </w:tcPr>
          <w:p w14:paraId="2863D92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12,354</w:t>
            </w:r>
          </w:p>
        </w:tc>
        <w:tc>
          <w:tcPr>
            <w:tcW w:w="1323" w:type="dxa"/>
            <w:tcBorders>
              <w:top w:val="single" w:sz="6" w:space="0" w:color="auto"/>
              <w:left w:val="single" w:sz="6" w:space="0" w:color="auto"/>
              <w:bottom w:val="single" w:sz="6" w:space="0" w:color="auto"/>
              <w:right w:val="single" w:sz="6" w:space="0" w:color="auto"/>
            </w:tcBorders>
          </w:tcPr>
          <w:p w14:paraId="198F0171"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23.5</w:t>
            </w:r>
          </w:p>
        </w:tc>
        <w:tc>
          <w:tcPr>
            <w:tcW w:w="1323" w:type="dxa"/>
            <w:tcBorders>
              <w:top w:val="single" w:sz="6" w:space="0" w:color="auto"/>
              <w:left w:val="single" w:sz="6" w:space="0" w:color="auto"/>
              <w:bottom w:val="single" w:sz="6" w:space="0" w:color="auto"/>
              <w:right w:val="single" w:sz="6" w:space="0" w:color="auto"/>
            </w:tcBorders>
          </w:tcPr>
          <w:p w14:paraId="1E371615"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8,184</w:t>
            </w:r>
          </w:p>
        </w:tc>
        <w:tc>
          <w:tcPr>
            <w:tcW w:w="1323" w:type="dxa"/>
            <w:tcBorders>
              <w:top w:val="single" w:sz="6" w:space="0" w:color="auto"/>
              <w:left w:val="single" w:sz="6" w:space="0" w:color="auto"/>
              <w:bottom w:val="single" w:sz="6" w:space="0" w:color="auto"/>
              <w:right w:val="single" w:sz="6" w:space="0" w:color="auto"/>
            </w:tcBorders>
          </w:tcPr>
          <w:p w14:paraId="4256E8CA"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324" w:type="dxa"/>
            <w:tcBorders>
              <w:top w:val="single" w:sz="6" w:space="0" w:color="auto"/>
              <w:left w:val="single" w:sz="6" w:space="0" w:color="auto"/>
              <w:bottom w:val="single" w:sz="6" w:space="0" w:color="auto"/>
              <w:right w:val="single" w:sz="6" w:space="0" w:color="auto"/>
            </w:tcBorders>
          </w:tcPr>
          <w:p w14:paraId="1B2D59F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52,590</w:t>
            </w:r>
          </w:p>
        </w:tc>
      </w:tr>
    </w:tbl>
    <w:p w14:paraId="768B2E6C" w14:textId="41F9CFCD" w:rsidR="00F61461" w:rsidRPr="00392E0D" w:rsidRDefault="00F61461" w:rsidP="00F61461">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71</w:t>
      </w:r>
      <w:r w:rsidRPr="00392E0D">
        <w:rPr>
          <w:rFonts w:cs="Arial"/>
        </w:rPr>
        <w:fldChar w:fldCharType="end"/>
      </w:r>
      <w:r w:rsidRPr="00392E0D">
        <w:rPr>
          <w:rFonts w:cs="Arial"/>
        </w:rPr>
        <w:tab/>
      </w:r>
      <w:r w:rsidRPr="00392E0D">
        <w:rPr>
          <w:rFonts w:eastAsiaTheme="minorHAnsi" w:cs="Arial"/>
        </w:rPr>
        <w:t>Queensland trends (2009 – 2021) – Communication skills and general knowledge domain</w:t>
      </w:r>
    </w:p>
    <w:tbl>
      <w:tblPr>
        <w:tblW w:w="10236" w:type="dxa"/>
        <w:tblInd w:w="-38" w:type="dxa"/>
        <w:tblLayout w:type="fixed"/>
        <w:tblLook w:val="0000" w:firstRow="0" w:lastRow="0" w:firstColumn="0" w:lastColumn="0" w:noHBand="0" w:noVBand="0"/>
      </w:tblPr>
      <w:tblGrid>
        <w:gridCol w:w="974"/>
        <w:gridCol w:w="1323"/>
        <w:gridCol w:w="1323"/>
        <w:gridCol w:w="1323"/>
        <w:gridCol w:w="1323"/>
        <w:gridCol w:w="1323"/>
        <w:gridCol w:w="1323"/>
        <w:gridCol w:w="1324"/>
      </w:tblGrid>
      <w:tr w:rsidR="00F61461" w:rsidRPr="00392E0D" w14:paraId="2D2DC98D"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58BB2A8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p>
        </w:tc>
        <w:tc>
          <w:tcPr>
            <w:tcW w:w="1323" w:type="dxa"/>
            <w:tcBorders>
              <w:top w:val="single" w:sz="6" w:space="0" w:color="auto"/>
              <w:left w:val="single" w:sz="6" w:space="0" w:color="auto"/>
              <w:bottom w:val="single" w:sz="6" w:space="0" w:color="auto"/>
              <w:right w:val="single" w:sz="6" w:space="0" w:color="auto"/>
            </w:tcBorders>
            <w:vAlign w:val="bottom"/>
          </w:tcPr>
          <w:p w14:paraId="1F5B06A3" w14:textId="797D8872"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(n)</w:t>
            </w:r>
          </w:p>
        </w:tc>
        <w:tc>
          <w:tcPr>
            <w:tcW w:w="1323" w:type="dxa"/>
            <w:tcBorders>
              <w:top w:val="single" w:sz="6" w:space="0" w:color="auto"/>
              <w:left w:val="single" w:sz="6" w:space="0" w:color="auto"/>
              <w:bottom w:val="single" w:sz="6" w:space="0" w:color="auto"/>
              <w:right w:val="single" w:sz="6" w:space="0" w:color="auto"/>
            </w:tcBorders>
            <w:vAlign w:val="bottom"/>
          </w:tcPr>
          <w:p w14:paraId="021A5849" w14:textId="73843B06"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on track (%)</w:t>
            </w:r>
          </w:p>
        </w:tc>
        <w:tc>
          <w:tcPr>
            <w:tcW w:w="1323" w:type="dxa"/>
            <w:tcBorders>
              <w:top w:val="single" w:sz="6" w:space="0" w:color="auto"/>
              <w:left w:val="single" w:sz="6" w:space="0" w:color="auto"/>
              <w:bottom w:val="single" w:sz="6" w:space="0" w:color="auto"/>
              <w:right w:val="single" w:sz="6" w:space="0" w:color="auto"/>
            </w:tcBorders>
            <w:vAlign w:val="bottom"/>
          </w:tcPr>
          <w:p w14:paraId="47B99D6B" w14:textId="55D5CBF9"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(n)</w:t>
            </w:r>
          </w:p>
        </w:tc>
        <w:tc>
          <w:tcPr>
            <w:tcW w:w="1323" w:type="dxa"/>
            <w:tcBorders>
              <w:top w:val="single" w:sz="6" w:space="0" w:color="auto"/>
              <w:left w:val="single" w:sz="6" w:space="0" w:color="auto"/>
              <w:bottom w:val="single" w:sz="6" w:space="0" w:color="auto"/>
              <w:right w:val="single" w:sz="6" w:space="0" w:color="auto"/>
            </w:tcBorders>
            <w:vAlign w:val="bottom"/>
          </w:tcPr>
          <w:p w14:paraId="36D8F4DB" w14:textId="1F8AF74F"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at risk (%)</w:t>
            </w:r>
          </w:p>
        </w:tc>
        <w:tc>
          <w:tcPr>
            <w:tcW w:w="1323" w:type="dxa"/>
            <w:tcBorders>
              <w:top w:val="single" w:sz="6" w:space="0" w:color="auto"/>
              <w:left w:val="single" w:sz="6" w:space="0" w:color="auto"/>
              <w:bottom w:val="single" w:sz="6" w:space="0" w:color="auto"/>
              <w:right w:val="single" w:sz="6" w:space="0" w:color="auto"/>
            </w:tcBorders>
            <w:vAlign w:val="bottom"/>
          </w:tcPr>
          <w:p w14:paraId="3C363E04" w14:textId="3FEA5EC0"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(n)</w:t>
            </w:r>
          </w:p>
        </w:tc>
        <w:tc>
          <w:tcPr>
            <w:tcW w:w="1323" w:type="dxa"/>
            <w:tcBorders>
              <w:top w:val="single" w:sz="6" w:space="0" w:color="auto"/>
              <w:left w:val="single" w:sz="6" w:space="0" w:color="auto"/>
              <w:bottom w:val="single" w:sz="6" w:space="0" w:color="auto"/>
              <w:right w:val="single" w:sz="6" w:space="0" w:color="auto"/>
            </w:tcBorders>
            <w:vAlign w:val="bottom"/>
          </w:tcPr>
          <w:p w14:paraId="07F5EBBC" w14:textId="7C85C335" w:rsidR="00F61461" w:rsidRPr="00392E0D" w:rsidRDefault="00ED2465"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F61461" w:rsidRPr="00392E0D">
              <w:rPr>
                <w:rFonts w:ascii="Arial" w:eastAsiaTheme="minorHAnsi" w:hAnsi="Arial" w:cs="Arial"/>
                <w:color w:val="000000"/>
                <w:sz w:val="20"/>
                <w:szCs w:val="20"/>
                <w:lang w:val="en-AU"/>
              </w:rPr>
              <w:t xml:space="preserve"> vulnerable (%)</w:t>
            </w:r>
          </w:p>
        </w:tc>
        <w:tc>
          <w:tcPr>
            <w:tcW w:w="1324" w:type="dxa"/>
            <w:tcBorders>
              <w:top w:val="single" w:sz="6" w:space="0" w:color="auto"/>
              <w:left w:val="single" w:sz="6" w:space="0" w:color="auto"/>
              <w:bottom w:val="single" w:sz="6" w:space="0" w:color="auto"/>
              <w:right w:val="single" w:sz="6" w:space="0" w:color="auto"/>
            </w:tcBorders>
            <w:vAlign w:val="bottom"/>
          </w:tcPr>
          <w:p w14:paraId="00613B55" w14:textId="625E052D" w:rsidR="00F61461" w:rsidRPr="00392E0D" w:rsidRDefault="009B7612"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F61461" w:rsidRPr="00392E0D" w14:paraId="3FC362BA"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5099FD5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23" w:type="dxa"/>
            <w:tcBorders>
              <w:top w:val="single" w:sz="6" w:space="0" w:color="auto"/>
              <w:left w:val="single" w:sz="6" w:space="0" w:color="auto"/>
              <w:bottom w:val="single" w:sz="6" w:space="0" w:color="auto"/>
              <w:right w:val="single" w:sz="6" w:space="0" w:color="auto"/>
            </w:tcBorders>
          </w:tcPr>
          <w:p w14:paraId="3E99CA8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46,733</w:t>
            </w:r>
          </w:p>
        </w:tc>
        <w:tc>
          <w:tcPr>
            <w:tcW w:w="1323" w:type="dxa"/>
            <w:tcBorders>
              <w:top w:val="single" w:sz="6" w:space="0" w:color="auto"/>
              <w:left w:val="single" w:sz="6" w:space="0" w:color="auto"/>
              <w:bottom w:val="single" w:sz="6" w:space="0" w:color="auto"/>
              <w:right w:val="single" w:sz="6" w:space="0" w:color="auto"/>
            </w:tcBorders>
          </w:tcPr>
          <w:p w14:paraId="2CFB6C8B"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76.1</w:t>
            </w:r>
          </w:p>
        </w:tc>
        <w:tc>
          <w:tcPr>
            <w:tcW w:w="1323" w:type="dxa"/>
            <w:tcBorders>
              <w:top w:val="single" w:sz="6" w:space="0" w:color="auto"/>
              <w:left w:val="single" w:sz="6" w:space="0" w:color="auto"/>
              <w:bottom w:val="single" w:sz="6" w:space="0" w:color="auto"/>
              <w:right w:val="single" w:sz="6" w:space="0" w:color="auto"/>
            </w:tcBorders>
          </w:tcPr>
          <w:p w14:paraId="447FDF9F"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9,121</w:t>
            </w:r>
          </w:p>
        </w:tc>
        <w:tc>
          <w:tcPr>
            <w:tcW w:w="1323" w:type="dxa"/>
            <w:tcBorders>
              <w:top w:val="single" w:sz="6" w:space="0" w:color="auto"/>
              <w:left w:val="single" w:sz="6" w:space="0" w:color="auto"/>
              <w:bottom w:val="single" w:sz="6" w:space="0" w:color="auto"/>
              <w:right w:val="single" w:sz="6" w:space="0" w:color="auto"/>
            </w:tcBorders>
          </w:tcPr>
          <w:p w14:paraId="78B2A96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w:t>
            </w:r>
          </w:p>
        </w:tc>
        <w:tc>
          <w:tcPr>
            <w:tcW w:w="1323" w:type="dxa"/>
            <w:tcBorders>
              <w:top w:val="single" w:sz="6" w:space="0" w:color="auto"/>
              <w:left w:val="single" w:sz="6" w:space="0" w:color="auto"/>
              <w:bottom w:val="single" w:sz="6" w:space="0" w:color="auto"/>
              <w:right w:val="single" w:sz="6" w:space="0" w:color="auto"/>
            </w:tcBorders>
          </w:tcPr>
          <w:p w14:paraId="7919E20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5,596</w:t>
            </w:r>
          </w:p>
        </w:tc>
        <w:tc>
          <w:tcPr>
            <w:tcW w:w="1323" w:type="dxa"/>
            <w:tcBorders>
              <w:top w:val="single" w:sz="6" w:space="0" w:color="auto"/>
              <w:left w:val="single" w:sz="6" w:space="0" w:color="auto"/>
              <w:bottom w:val="single" w:sz="6" w:space="0" w:color="auto"/>
              <w:right w:val="single" w:sz="6" w:space="0" w:color="auto"/>
            </w:tcBorders>
          </w:tcPr>
          <w:p w14:paraId="7101326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9.1</w:t>
            </w:r>
          </w:p>
        </w:tc>
        <w:tc>
          <w:tcPr>
            <w:tcW w:w="1324" w:type="dxa"/>
            <w:tcBorders>
              <w:top w:val="single" w:sz="6" w:space="0" w:color="auto"/>
              <w:left w:val="single" w:sz="6" w:space="0" w:color="auto"/>
              <w:bottom w:val="single" w:sz="6" w:space="0" w:color="auto"/>
              <w:right w:val="single" w:sz="6" w:space="0" w:color="auto"/>
            </w:tcBorders>
          </w:tcPr>
          <w:p w14:paraId="55F8AAF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61,450</w:t>
            </w:r>
          </w:p>
        </w:tc>
      </w:tr>
      <w:tr w:rsidR="00F61461" w:rsidRPr="00392E0D" w14:paraId="3341C6D3"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45AF5EB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23" w:type="dxa"/>
            <w:tcBorders>
              <w:top w:val="single" w:sz="6" w:space="0" w:color="auto"/>
              <w:left w:val="single" w:sz="6" w:space="0" w:color="auto"/>
              <w:bottom w:val="single" w:sz="6" w:space="0" w:color="auto"/>
              <w:right w:val="single" w:sz="6" w:space="0" w:color="auto"/>
            </w:tcBorders>
          </w:tcPr>
          <w:p w14:paraId="73D1C149"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45,747</w:t>
            </w:r>
          </w:p>
        </w:tc>
        <w:tc>
          <w:tcPr>
            <w:tcW w:w="1323" w:type="dxa"/>
            <w:tcBorders>
              <w:top w:val="single" w:sz="6" w:space="0" w:color="auto"/>
              <w:left w:val="single" w:sz="6" w:space="0" w:color="auto"/>
              <w:bottom w:val="single" w:sz="6" w:space="0" w:color="auto"/>
              <w:right w:val="single" w:sz="6" w:space="0" w:color="auto"/>
            </w:tcBorders>
          </w:tcPr>
          <w:p w14:paraId="50F104C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74.0</w:t>
            </w:r>
          </w:p>
        </w:tc>
        <w:tc>
          <w:tcPr>
            <w:tcW w:w="1323" w:type="dxa"/>
            <w:tcBorders>
              <w:top w:val="single" w:sz="6" w:space="0" w:color="auto"/>
              <w:left w:val="single" w:sz="6" w:space="0" w:color="auto"/>
              <w:bottom w:val="single" w:sz="6" w:space="0" w:color="auto"/>
              <w:right w:val="single" w:sz="6" w:space="0" w:color="auto"/>
            </w:tcBorders>
          </w:tcPr>
          <w:p w14:paraId="49523345"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9,838</w:t>
            </w:r>
          </w:p>
        </w:tc>
        <w:tc>
          <w:tcPr>
            <w:tcW w:w="1323" w:type="dxa"/>
            <w:tcBorders>
              <w:top w:val="single" w:sz="6" w:space="0" w:color="auto"/>
              <w:left w:val="single" w:sz="6" w:space="0" w:color="auto"/>
              <w:bottom w:val="single" w:sz="6" w:space="0" w:color="auto"/>
              <w:right w:val="single" w:sz="6" w:space="0" w:color="auto"/>
            </w:tcBorders>
          </w:tcPr>
          <w:p w14:paraId="7185AF23"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15.9</w:t>
            </w:r>
          </w:p>
        </w:tc>
        <w:tc>
          <w:tcPr>
            <w:tcW w:w="1323" w:type="dxa"/>
            <w:tcBorders>
              <w:top w:val="single" w:sz="6" w:space="0" w:color="auto"/>
              <w:left w:val="single" w:sz="6" w:space="0" w:color="auto"/>
              <w:bottom w:val="single" w:sz="6" w:space="0" w:color="auto"/>
              <w:right w:val="single" w:sz="6" w:space="0" w:color="auto"/>
            </w:tcBorders>
          </w:tcPr>
          <w:p w14:paraId="309CC016"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6,248</w:t>
            </w:r>
          </w:p>
        </w:tc>
        <w:tc>
          <w:tcPr>
            <w:tcW w:w="1323" w:type="dxa"/>
            <w:tcBorders>
              <w:top w:val="single" w:sz="6" w:space="0" w:color="auto"/>
              <w:left w:val="single" w:sz="6" w:space="0" w:color="auto"/>
              <w:bottom w:val="single" w:sz="6" w:space="0" w:color="auto"/>
              <w:right w:val="single" w:sz="6" w:space="0" w:color="auto"/>
            </w:tcBorders>
          </w:tcPr>
          <w:p w14:paraId="0881D4E7"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324" w:type="dxa"/>
            <w:tcBorders>
              <w:top w:val="single" w:sz="6" w:space="0" w:color="auto"/>
              <w:left w:val="single" w:sz="6" w:space="0" w:color="auto"/>
              <w:bottom w:val="single" w:sz="6" w:space="0" w:color="auto"/>
              <w:right w:val="single" w:sz="6" w:space="0" w:color="auto"/>
            </w:tcBorders>
          </w:tcPr>
          <w:p w14:paraId="77D14B4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61,833</w:t>
            </w:r>
          </w:p>
        </w:tc>
      </w:tr>
      <w:tr w:rsidR="00F61461" w:rsidRPr="00392E0D" w14:paraId="0C3A5548"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7D755302"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23" w:type="dxa"/>
            <w:tcBorders>
              <w:top w:val="single" w:sz="6" w:space="0" w:color="auto"/>
              <w:left w:val="single" w:sz="6" w:space="0" w:color="auto"/>
              <w:bottom w:val="single" w:sz="6" w:space="0" w:color="auto"/>
              <w:right w:val="single" w:sz="6" w:space="0" w:color="auto"/>
            </w:tcBorders>
          </w:tcPr>
          <w:p w14:paraId="18FE6313"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45,235</w:t>
            </w:r>
          </w:p>
        </w:tc>
        <w:tc>
          <w:tcPr>
            <w:tcW w:w="1323" w:type="dxa"/>
            <w:tcBorders>
              <w:top w:val="single" w:sz="6" w:space="0" w:color="auto"/>
              <w:left w:val="single" w:sz="6" w:space="0" w:color="auto"/>
              <w:bottom w:val="single" w:sz="6" w:space="0" w:color="auto"/>
              <w:right w:val="single" w:sz="6" w:space="0" w:color="auto"/>
            </w:tcBorders>
          </w:tcPr>
          <w:p w14:paraId="722B8061"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72.8</w:t>
            </w:r>
          </w:p>
        </w:tc>
        <w:tc>
          <w:tcPr>
            <w:tcW w:w="1323" w:type="dxa"/>
            <w:tcBorders>
              <w:top w:val="single" w:sz="6" w:space="0" w:color="auto"/>
              <w:left w:val="single" w:sz="6" w:space="0" w:color="auto"/>
              <w:bottom w:val="single" w:sz="6" w:space="0" w:color="auto"/>
              <w:right w:val="single" w:sz="6" w:space="0" w:color="auto"/>
            </w:tcBorders>
          </w:tcPr>
          <w:p w14:paraId="09E8F716"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10,395</w:t>
            </w:r>
          </w:p>
        </w:tc>
        <w:tc>
          <w:tcPr>
            <w:tcW w:w="1323" w:type="dxa"/>
            <w:tcBorders>
              <w:top w:val="single" w:sz="6" w:space="0" w:color="auto"/>
              <w:left w:val="single" w:sz="6" w:space="0" w:color="auto"/>
              <w:bottom w:val="single" w:sz="6" w:space="0" w:color="auto"/>
              <w:right w:val="single" w:sz="6" w:space="0" w:color="auto"/>
            </w:tcBorders>
          </w:tcPr>
          <w:p w14:paraId="495BC58F"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16.7</w:t>
            </w:r>
          </w:p>
        </w:tc>
        <w:tc>
          <w:tcPr>
            <w:tcW w:w="1323" w:type="dxa"/>
            <w:tcBorders>
              <w:top w:val="single" w:sz="6" w:space="0" w:color="auto"/>
              <w:left w:val="single" w:sz="6" w:space="0" w:color="auto"/>
              <w:bottom w:val="single" w:sz="6" w:space="0" w:color="auto"/>
              <w:right w:val="single" w:sz="6" w:space="0" w:color="auto"/>
            </w:tcBorders>
          </w:tcPr>
          <w:p w14:paraId="60B6CC20"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6,533</w:t>
            </w:r>
          </w:p>
        </w:tc>
        <w:tc>
          <w:tcPr>
            <w:tcW w:w="1323" w:type="dxa"/>
            <w:tcBorders>
              <w:top w:val="single" w:sz="6" w:space="0" w:color="auto"/>
              <w:left w:val="single" w:sz="6" w:space="0" w:color="auto"/>
              <w:bottom w:val="single" w:sz="6" w:space="0" w:color="auto"/>
              <w:right w:val="single" w:sz="6" w:space="0" w:color="auto"/>
            </w:tcBorders>
          </w:tcPr>
          <w:p w14:paraId="5FC1C4E9"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c>
          <w:tcPr>
            <w:tcW w:w="1324" w:type="dxa"/>
            <w:tcBorders>
              <w:top w:val="single" w:sz="6" w:space="0" w:color="auto"/>
              <w:left w:val="single" w:sz="6" w:space="0" w:color="auto"/>
              <w:bottom w:val="single" w:sz="6" w:space="0" w:color="auto"/>
              <w:right w:val="single" w:sz="6" w:space="0" w:color="auto"/>
            </w:tcBorders>
          </w:tcPr>
          <w:p w14:paraId="27ABFDF5"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62,163</w:t>
            </w:r>
          </w:p>
        </w:tc>
      </w:tr>
      <w:tr w:rsidR="00F61461" w:rsidRPr="00392E0D" w14:paraId="3A4E4B25"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34E66441"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23" w:type="dxa"/>
            <w:tcBorders>
              <w:top w:val="single" w:sz="6" w:space="0" w:color="auto"/>
              <w:left w:val="single" w:sz="6" w:space="0" w:color="auto"/>
              <w:bottom w:val="single" w:sz="6" w:space="0" w:color="auto"/>
              <w:right w:val="single" w:sz="6" w:space="0" w:color="auto"/>
            </w:tcBorders>
          </w:tcPr>
          <w:p w14:paraId="05A0D4D4"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41,547</w:t>
            </w:r>
          </w:p>
        </w:tc>
        <w:tc>
          <w:tcPr>
            <w:tcW w:w="1323" w:type="dxa"/>
            <w:tcBorders>
              <w:top w:val="single" w:sz="6" w:space="0" w:color="auto"/>
              <w:left w:val="single" w:sz="6" w:space="0" w:color="auto"/>
              <w:bottom w:val="single" w:sz="6" w:space="0" w:color="auto"/>
              <w:right w:val="single" w:sz="6" w:space="0" w:color="auto"/>
            </w:tcBorders>
          </w:tcPr>
          <w:p w14:paraId="061179DF"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71.4</w:t>
            </w:r>
          </w:p>
        </w:tc>
        <w:tc>
          <w:tcPr>
            <w:tcW w:w="1323" w:type="dxa"/>
            <w:tcBorders>
              <w:top w:val="single" w:sz="6" w:space="0" w:color="auto"/>
              <w:left w:val="single" w:sz="6" w:space="0" w:color="auto"/>
              <w:bottom w:val="single" w:sz="6" w:space="0" w:color="auto"/>
              <w:right w:val="single" w:sz="6" w:space="0" w:color="auto"/>
            </w:tcBorders>
          </w:tcPr>
          <w:p w14:paraId="677D23F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10,417</w:t>
            </w:r>
          </w:p>
        </w:tc>
        <w:tc>
          <w:tcPr>
            <w:tcW w:w="1323" w:type="dxa"/>
            <w:tcBorders>
              <w:top w:val="single" w:sz="6" w:space="0" w:color="auto"/>
              <w:left w:val="single" w:sz="6" w:space="0" w:color="auto"/>
              <w:bottom w:val="single" w:sz="6" w:space="0" w:color="auto"/>
              <w:right w:val="single" w:sz="6" w:space="0" w:color="auto"/>
            </w:tcBorders>
          </w:tcPr>
          <w:p w14:paraId="46D9D7A1"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17.9</w:t>
            </w:r>
          </w:p>
        </w:tc>
        <w:tc>
          <w:tcPr>
            <w:tcW w:w="1323" w:type="dxa"/>
            <w:tcBorders>
              <w:top w:val="single" w:sz="6" w:space="0" w:color="auto"/>
              <w:left w:val="single" w:sz="6" w:space="0" w:color="auto"/>
              <w:bottom w:val="single" w:sz="6" w:space="0" w:color="auto"/>
              <w:right w:val="single" w:sz="6" w:space="0" w:color="auto"/>
            </w:tcBorders>
          </w:tcPr>
          <w:p w14:paraId="2E3222F7"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6,239</w:t>
            </w:r>
          </w:p>
        </w:tc>
        <w:tc>
          <w:tcPr>
            <w:tcW w:w="1323" w:type="dxa"/>
            <w:tcBorders>
              <w:top w:val="single" w:sz="6" w:space="0" w:color="auto"/>
              <w:left w:val="single" w:sz="6" w:space="0" w:color="auto"/>
              <w:bottom w:val="single" w:sz="6" w:space="0" w:color="auto"/>
              <w:right w:val="single" w:sz="6" w:space="0" w:color="auto"/>
            </w:tcBorders>
          </w:tcPr>
          <w:p w14:paraId="547431A6"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10.7</w:t>
            </w:r>
          </w:p>
        </w:tc>
        <w:tc>
          <w:tcPr>
            <w:tcW w:w="1324" w:type="dxa"/>
            <w:tcBorders>
              <w:top w:val="single" w:sz="6" w:space="0" w:color="auto"/>
              <w:left w:val="single" w:sz="6" w:space="0" w:color="auto"/>
              <w:bottom w:val="single" w:sz="6" w:space="0" w:color="auto"/>
              <w:right w:val="single" w:sz="6" w:space="0" w:color="auto"/>
            </w:tcBorders>
          </w:tcPr>
          <w:p w14:paraId="08A197E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58,203</w:t>
            </w:r>
          </w:p>
        </w:tc>
      </w:tr>
      <w:tr w:rsidR="00F61461" w:rsidRPr="00392E0D" w14:paraId="3811B98A" w14:textId="77777777" w:rsidTr="00D65853">
        <w:trPr>
          <w:trHeight w:val="287"/>
        </w:trPr>
        <w:tc>
          <w:tcPr>
            <w:tcW w:w="974" w:type="dxa"/>
            <w:tcBorders>
              <w:top w:val="single" w:sz="6" w:space="0" w:color="auto"/>
              <w:left w:val="single" w:sz="6" w:space="0" w:color="auto"/>
              <w:bottom w:val="single" w:sz="6" w:space="0" w:color="auto"/>
              <w:right w:val="single" w:sz="6" w:space="0" w:color="auto"/>
            </w:tcBorders>
          </w:tcPr>
          <w:p w14:paraId="68A5A16E"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23" w:type="dxa"/>
            <w:tcBorders>
              <w:top w:val="single" w:sz="6" w:space="0" w:color="auto"/>
              <w:left w:val="single" w:sz="6" w:space="0" w:color="auto"/>
              <w:bottom w:val="single" w:sz="6" w:space="0" w:color="auto"/>
              <w:right w:val="single" w:sz="6" w:space="0" w:color="auto"/>
            </w:tcBorders>
          </w:tcPr>
          <w:p w14:paraId="352EF4BE"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38,314</w:t>
            </w:r>
          </w:p>
        </w:tc>
        <w:tc>
          <w:tcPr>
            <w:tcW w:w="1323" w:type="dxa"/>
            <w:tcBorders>
              <w:top w:val="single" w:sz="6" w:space="0" w:color="auto"/>
              <w:left w:val="single" w:sz="6" w:space="0" w:color="auto"/>
              <w:bottom w:val="single" w:sz="6" w:space="0" w:color="auto"/>
              <w:right w:val="single" w:sz="6" w:space="0" w:color="auto"/>
            </w:tcBorders>
          </w:tcPr>
          <w:p w14:paraId="656FF98F"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72.6</w:t>
            </w:r>
          </w:p>
        </w:tc>
        <w:tc>
          <w:tcPr>
            <w:tcW w:w="1323" w:type="dxa"/>
            <w:tcBorders>
              <w:top w:val="single" w:sz="6" w:space="0" w:color="auto"/>
              <w:left w:val="single" w:sz="6" w:space="0" w:color="auto"/>
              <w:bottom w:val="single" w:sz="6" w:space="0" w:color="auto"/>
              <w:right w:val="single" w:sz="6" w:space="0" w:color="auto"/>
            </w:tcBorders>
          </w:tcPr>
          <w:p w14:paraId="13C5C94E"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8,917</w:t>
            </w:r>
          </w:p>
        </w:tc>
        <w:tc>
          <w:tcPr>
            <w:tcW w:w="1323" w:type="dxa"/>
            <w:tcBorders>
              <w:top w:val="single" w:sz="6" w:space="0" w:color="auto"/>
              <w:left w:val="single" w:sz="6" w:space="0" w:color="auto"/>
              <w:bottom w:val="single" w:sz="6" w:space="0" w:color="auto"/>
              <w:right w:val="single" w:sz="6" w:space="0" w:color="auto"/>
            </w:tcBorders>
          </w:tcPr>
          <w:p w14:paraId="25C86D76"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16.9</w:t>
            </w:r>
          </w:p>
        </w:tc>
        <w:tc>
          <w:tcPr>
            <w:tcW w:w="1323" w:type="dxa"/>
            <w:tcBorders>
              <w:top w:val="single" w:sz="6" w:space="0" w:color="auto"/>
              <w:left w:val="single" w:sz="6" w:space="0" w:color="auto"/>
              <w:bottom w:val="single" w:sz="6" w:space="0" w:color="auto"/>
              <w:right w:val="single" w:sz="6" w:space="0" w:color="auto"/>
            </w:tcBorders>
          </w:tcPr>
          <w:p w14:paraId="151BFD38" w14:textId="77777777" w:rsidR="00F61461" w:rsidRPr="00392E0D" w:rsidRDefault="00F61461" w:rsidP="00F61461">
            <w:pPr>
              <w:widowControl/>
              <w:adjustRightInd w:val="0"/>
              <w:spacing w:before="60" w:after="6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5,523</w:t>
            </w:r>
          </w:p>
        </w:tc>
        <w:tc>
          <w:tcPr>
            <w:tcW w:w="1323" w:type="dxa"/>
            <w:tcBorders>
              <w:top w:val="single" w:sz="6" w:space="0" w:color="auto"/>
              <w:left w:val="single" w:sz="6" w:space="0" w:color="auto"/>
              <w:bottom w:val="single" w:sz="6" w:space="0" w:color="auto"/>
              <w:right w:val="single" w:sz="6" w:space="0" w:color="auto"/>
            </w:tcBorders>
          </w:tcPr>
          <w:p w14:paraId="6DCE0D68"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c>
          <w:tcPr>
            <w:tcW w:w="1324" w:type="dxa"/>
            <w:tcBorders>
              <w:top w:val="single" w:sz="6" w:space="0" w:color="auto"/>
              <w:left w:val="single" w:sz="6" w:space="0" w:color="auto"/>
              <w:bottom w:val="single" w:sz="6" w:space="0" w:color="auto"/>
              <w:right w:val="single" w:sz="6" w:space="0" w:color="auto"/>
            </w:tcBorders>
          </w:tcPr>
          <w:p w14:paraId="14E5343D" w14:textId="77777777" w:rsidR="00F61461" w:rsidRPr="00392E0D" w:rsidRDefault="00F61461" w:rsidP="00F61461">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52,754</w:t>
            </w:r>
          </w:p>
        </w:tc>
      </w:tr>
    </w:tbl>
    <w:p w14:paraId="1C5C8366" w14:textId="6D1762CB" w:rsidR="00132CF4" w:rsidRPr="00392E0D" w:rsidRDefault="00132CF4" w:rsidP="00F61461">
      <w:pPr>
        <w:pStyle w:val="Body"/>
        <w:spacing w:before="60" w:after="60" w:line="240" w:lineRule="auto"/>
        <w:rPr>
          <w:rFonts w:cs="Arial"/>
          <w:sz w:val="20"/>
        </w:rPr>
      </w:pPr>
    </w:p>
    <w:p w14:paraId="3535EAD3" w14:textId="77777777" w:rsidR="00132CF4" w:rsidRPr="00392E0D" w:rsidRDefault="00132CF4">
      <w:pPr>
        <w:widowControl/>
        <w:autoSpaceDE/>
        <w:autoSpaceDN/>
        <w:rPr>
          <w:rFonts w:ascii="Arial" w:eastAsia="Times New Roman" w:hAnsi="Arial" w:cs="Arial"/>
          <w:sz w:val="20"/>
          <w:szCs w:val="20"/>
        </w:rPr>
      </w:pPr>
      <w:r w:rsidRPr="00392E0D">
        <w:rPr>
          <w:rFonts w:ascii="Arial" w:hAnsi="Arial" w:cs="Arial"/>
          <w:sz w:val="20"/>
        </w:rPr>
        <w:br w:type="page"/>
      </w:r>
    </w:p>
    <w:p w14:paraId="2A32774C" w14:textId="034A6A43" w:rsidR="0009344F" w:rsidRPr="00392E0D" w:rsidRDefault="00132CF4" w:rsidP="00132CF4">
      <w:pPr>
        <w:pStyle w:val="Heading2"/>
        <w:rPr>
          <w:rFonts w:cs="Arial"/>
        </w:rPr>
      </w:pPr>
      <w:r w:rsidRPr="00392E0D">
        <w:rPr>
          <w:rFonts w:cs="Arial"/>
        </w:rPr>
        <w:lastRenderedPageBreak/>
        <w:t>South Australia trends</w:t>
      </w:r>
    </w:p>
    <w:p w14:paraId="241087E3" w14:textId="0E927EB3" w:rsidR="00132CF4" w:rsidRPr="00392E0D" w:rsidRDefault="00132CF4" w:rsidP="00132CF4">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72</w:t>
      </w:r>
      <w:r w:rsidRPr="00392E0D">
        <w:rPr>
          <w:rFonts w:cs="Arial"/>
        </w:rPr>
        <w:fldChar w:fldCharType="end"/>
      </w:r>
      <w:r w:rsidRPr="00392E0D">
        <w:rPr>
          <w:rFonts w:cs="Arial"/>
        </w:rPr>
        <w:tab/>
      </w:r>
      <w:r w:rsidRPr="00392E0D">
        <w:rPr>
          <w:rFonts w:eastAsiaTheme="minorHAnsi" w:cs="Arial"/>
        </w:rPr>
        <w:t>South Australia trends (2009 – 2021) – Developmentally vulnerable on one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132CF4" w:rsidRPr="00392E0D" w14:paraId="40177958"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49736CAB" w14:textId="77777777" w:rsidR="00132CF4" w:rsidRPr="00392E0D" w:rsidRDefault="00132CF4" w:rsidP="00253273">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6C1CC89D" w14:textId="1F128153" w:rsidR="00132CF4" w:rsidRPr="00392E0D" w:rsidRDefault="009B761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27492FD7" w14:textId="3AD7AC40" w:rsidR="00132CF4" w:rsidRPr="00392E0D" w:rsidRDefault="00513B7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3DBD07DF" w14:textId="3BC0970A" w:rsidR="00132CF4" w:rsidRPr="00392E0D" w:rsidRDefault="009B761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132CF4" w:rsidRPr="00392E0D" w14:paraId="39888025"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5F9707F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4018CD1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4,490</w:t>
            </w:r>
          </w:p>
        </w:tc>
        <w:tc>
          <w:tcPr>
            <w:tcW w:w="974" w:type="dxa"/>
            <w:tcBorders>
              <w:top w:val="single" w:sz="6" w:space="0" w:color="auto"/>
              <w:left w:val="single" w:sz="6" w:space="0" w:color="auto"/>
              <w:bottom w:val="single" w:sz="6" w:space="0" w:color="auto"/>
              <w:right w:val="single" w:sz="6" w:space="0" w:color="auto"/>
            </w:tcBorders>
          </w:tcPr>
          <w:p w14:paraId="1280E71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23.8</w:t>
            </w:r>
          </w:p>
        </w:tc>
        <w:tc>
          <w:tcPr>
            <w:tcW w:w="975" w:type="dxa"/>
            <w:tcBorders>
              <w:top w:val="single" w:sz="6" w:space="0" w:color="auto"/>
              <w:left w:val="single" w:sz="6" w:space="0" w:color="auto"/>
              <w:bottom w:val="single" w:sz="6" w:space="0" w:color="auto"/>
              <w:right w:val="single" w:sz="6" w:space="0" w:color="auto"/>
            </w:tcBorders>
          </w:tcPr>
          <w:p w14:paraId="762D266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18,881</w:t>
            </w:r>
          </w:p>
        </w:tc>
      </w:tr>
      <w:tr w:rsidR="00132CF4" w:rsidRPr="00392E0D" w14:paraId="22573981"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44A8F11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2036F86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4,564</w:t>
            </w:r>
          </w:p>
        </w:tc>
        <w:tc>
          <w:tcPr>
            <w:tcW w:w="974" w:type="dxa"/>
            <w:tcBorders>
              <w:top w:val="single" w:sz="6" w:space="0" w:color="auto"/>
              <w:left w:val="single" w:sz="6" w:space="0" w:color="auto"/>
              <w:bottom w:val="single" w:sz="6" w:space="0" w:color="auto"/>
              <w:right w:val="single" w:sz="6" w:space="0" w:color="auto"/>
            </w:tcBorders>
          </w:tcPr>
          <w:p w14:paraId="77E4152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23.9</w:t>
            </w:r>
          </w:p>
        </w:tc>
        <w:tc>
          <w:tcPr>
            <w:tcW w:w="975" w:type="dxa"/>
            <w:tcBorders>
              <w:top w:val="single" w:sz="6" w:space="0" w:color="auto"/>
              <w:left w:val="single" w:sz="6" w:space="0" w:color="auto"/>
              <w:bottom w:val="single" w:sz="6" w:space="0" w:color="auto"/>
              <w:right w:val="single" w:sz="6" w:space="0" w:color="auto"/>
            </w:tcBorders>
          </w:tcPr>
          <w:p w14:paraId="040B760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19,092</w:t>
            </w:r>
          </w:p>
        </w:tc>
      </w:tr>
      <w:tr w:rsidR="00132CF4" w:rsidRPr="00392E0D" w14:paraId="52503636"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0745C1C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1A271CA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4,338</w:t>
            </w:r>
          </w:p>
        </w:tc>
        <w:tc>
          <w:tcPr>
            <w:tcW w:w="974" w:type="dxa"/>
            <w:tcBorders>
              <w:top w:val="single" w:sz="6" w:space="0" w:color="auto"/>
              <w:left w:val="single" w:sz="6" w:space="0" w:color="auto"/>
              <w:bottom w:val="single" w:sz="6" w:space="0" w:color="auto"/>
              <w:right w:val="single" w:sz="6" w:space="0" w:color="auto"/>
            </w:tcBorders>
          </w:tcPr>
          <w:p w14:paraId="6982D8B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23.5</w:t>
            </w:r>
          </w:p>
        </w:tc>
        <w:tc>
          <w:tcPr>
            <w:tcW w:w="975" w:type="dxa"/>
            <w:tcBorders>
              <w:top w:val="single" w:sz="6" w:space="0" w:color="auto"/>
              <w:left w:val="single" w:sz="6" w:space="0" w:color="auto"/>
              <w:bottom w:val="single" w:sz="6" w:space="0" w:color="auto"/>
              <w:right w:val="single" w:sz="6" w:space="0" w:color="auto"/>
            </w:tcBorders>
          </w:tcPr>
          <w:p w14:paraId="5BC1624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18,451</w:t>
            </w:r>
          </w:p>
        </w:tc>
      </w:tr>
      <w:tr w:rsidR="00132CF4" w:rsidRPr="00392E0D" w14:paraId="5579AEFC"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6A3C903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30750BE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4,115</w:t>
            </w:r>
          </w:p>
        </w:tc>
        <w:tc>
          <w:tcPr>
            <w:tcW w:w="974" w:type="dxa"/>
            <w:tcBorders>
              <w:top w:val="single" w:sz="6" w:space="0" w:color="auto"/>
              <w:left w:val="single" w:sz="6" w:space="0" w:color="auto"/>
              <w:bottom w:val="single" w:sz="6" w:space="0" w:color="auto"/>
              <w:right w:val="single" w:sz="6" w:space="0" w:color="auto"/>
            </w:tcBorders>
          </w:tcPr>
          <w:p w14:paraId="1555B3A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23.7</w:t>
            </w:r>
          </w:p>
        </w:tc>
        <w:tc>
          <w:tcPr>
            <w:tcW w:w="975" w:type="dxa"/>
            <w:tcBorders>
              <w:top w:val="single" w:sz="6" w:space="0" w:color="auto"/>
              <w:left w:val="single" w:sz="6" w:space="0" w:color="auto"/>
              <w:bottom w:val="single" w:sz="6" w:space="0" w:color="auto"/>
              <w:right w:val="single" w:sz="6" w:space="0" w:color="auto"/>
            </w:tcBorders>
          </w:tcPr>
          <w:p w14:paraId="13D992E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17,355</w:t>
            </w:r>
          </w:p>
        </w:tc>
      </w:tr>
      <w:tr w:rsidR="00132CF4" w:rsidRPr="00392E0D" w14:paraId="2A5645D3"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383AD58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441FAAE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3,419</w:t>
            </w:r>
          </w:p>
        </w:tc>
        <w:tc>
          <w:tcPr>
            <w:tcW w:w="974" w:type="dxa"/>
            <w:tcBorders>
              <w:top w:val="single" w:sz="6" w:space="0" w:color="auto"/>
              <w:left w:val="single" w:sz="6" w:space="0" w:color="auto"/>
              <w:bottom w:val="single" w:sz="6" w:space="0" w:color="auto"/>
              <w:right w:val="single" w:sz="6" w:space="0" w:color="auto"/>
            </w:tcBorders>
          </w:tcPr>
          <w:p w14:paraId="0DEB9B7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22.8</w:t>
            </w:r>
          </w:p>
        </w:tc>
        <w:tc>
          <w:tcPr>
            <w:tcW w:w="975" w:type="dxa"/>
            <w:tcBorders>
              <w:top w:val="single" w:sz="6" w:space="0" w:color="auto"/>
              <w:left w:val="single" w:sz="6" w:space="0" w:color="auto"/>
              <w:bottom w:val="single" w:sz="6" w:space="0" w:color="auto"/>
              <w:right w:val="single" w:sz="6" w:space="0" w:color="auto"/>
            </w:tcBorders>
          </w:tcPr>
          <w:p w14:paraId="22B6CA6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15,009</w:t>
            </w:r>
          </w:p>
        </w:tc>
      </w:tr>
    </w:tbl>
    <w:p w14:paraId="008C50F5" w14:textId="34D5C8D1" w:rsidR="00132CF4" w:rsidRPr="00392E0D" w:rsidRDefault="00132CF4" w:rsidP="00132CF4">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73</w:t>
      </w:r>
      <w:r w:rsidRPr="00392E0D">
        <w:rPr>
          <w:rFonts w:cs="Arial"/>
        </w:rPr>
        <w:fldChar w:fldCharType="end"/>
      </w:r>
      <w:r w:rsidRPr="00392E0D">
        <w:rPr>
          <w:rFonts w:cs="Arial"/>
        </w:rPr>
        <w:tab/>
      </w:r>
      <w:r w:rsidRPr="00392E0D">
        <w:rPr>
          <w:rFonts w:eastAsiaTheme="minorHAnsi" w:cs="Arial"/>
          <w:lang w:val="en-AU"/>
        </w:rPr>
        <w:t>South Australia trends (2009 – 2021) – Developmentally vulnerable on two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132CF4" w:rsidRPr="00392E0D" w14:paraId="4D5EE873"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006A5BB0" w14:textId="77777777" w:rsidR="00132CF4" w:rsidRPr="00392E0D" w:rsidRDefault="00132CF4" w:rsidP="00253273">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0B4C2FC1" w14:textId="01199A2B" w:rsidR="00132CF4" w:rsidRPr="00392E0D" w:rsidRDefault="009B761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04D0B72A" w14:textId="05A61BAE" w:rsidR="00132CF4" w:rsidRPr="00392E0D" w:rsidRDefault="00513B7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560F8024" w14:textId="5223244D" w:rsidR="00132CF4" w:rsidRPr="00392E0D" w:rsidRDefault="009B761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132CF4" w:rsidRPr="00392E0D" w14:paraId="5056C4F1"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4D086D2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574F4D4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2,411</w:t>
            </w:r>
          </w:p>
        </w:tc>
        <w:tc>
          <w:tcPr>
            <w:tcW w:w="974" w:type="dxa"/>
            <w:tcBorders>
              <w:top w:val="single" w:sz="6" w:space="0" w:color="auto"/>
              <w:left w:val="single" w:sz="6" w:space="0" w:color="auto"/>
              <w:bottom w:val="single" w:sz="6" w:space="0" w:color="auto"/>
              <w:right w:val="single" w:sz="6" w:space="0" w:color="auto"/>
            </w:tcBorders>
          </w:tcPr>
          <w:p w14:paraId="1855534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12.7</w:t>
            </w:r>
          </w:p>
        </w:tc>
        <w:tc>
          <w:tcPr>
            <w:tcW w:w="975" w:type="dxa"/>
            <w:tcBorders>
              <w:top w:val="single" w:sz="6" w:space="0" w:color="auto"/>
              <w:left w:val="single" w:sz="6" w:space="0" w:color="auto"/>
              <w:bottom w:val="single" w:sz="6" w:space="0" w:color="auto"/>
              <w:right w:val="single" w:sz="6" w:space="0" w:color="auto"/>
            </w:tcBorders>
          </w:tcPr>
          <w:p w14:paraId="1C6959A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18,921</w:t>
            </w:r>
          </w:p>
        </w:tc>
      </w:tr>
      <w:tr w:rsidR="00132CF4" w:rsidRPr="00392E0D" w14:paraId="0D62728D"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2BCE313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2043A2E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2,490</w:t>
            </w:r>
          </w:p>
        </w:tc>
        <w:tc>
          <w:tcPr>
            <w:tcW w:w="974" w:type="dxa"/>
            <w:tcBorders>
              <w:top w:val="single" w:sz="6" w:space="0" w:color="auto"/>
              <w:left w:val="single" w:sz="6" w:space="0" w:color="auto"/>
              <w:bottom w:val="single" w:sz="6" w:space="0" w:color="auto"/>
              <w:right w:val="single" w:sz="6" w:space="0" w:color="auto"/>
            </w:tcBorders>
          </w:tcPr>
          <w:p w14:paraId="5DCDB5D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w:t>
            </w:r>
          </w:p>
        </w:tc>
        <w:tc>
          <w:tcPr>
            <w:tcW w:w="975" w:type="dxa"/>
            <w:tcBorders>
              <w:top w:val="single" w:sz="6" w:space="0" w:color="auto"/>
              <w:left w:val="single" w:sz="6" w:space="0" w:color="auto"/>
              <w:bottom w:val="single" w:sz="6" w:space="0" w:color="auto"/>
              <w:right w:val="single" w:sz="6" w:space="0" w:color="auto"/>
            </w:tcBorders>
          </w:tcPr>
          <w:p w14:paraId="37C6A45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19,157</w:t>
            </w:r>
          </w:p>
        </w:tc>
      </w:tr>
      <w:tr w:rsidR="00132CF4" w:rsidRPr="00392E0D" w14:paraId="64442460"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14D1319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3868215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2,259</w:t>
            </w:r>
          </w:p>
        </w:tc>
        <w:tc>
          <w:tcPr>
            <w:tcW w:w="974" w:type="dxa"/>
            <w:tcBorders>
              <w:top w:val="single" w:sz="6" w:space="0" w:color="auto"/>
              <w:left w:val="single" w:sz="6" w:space="0" w:color="auto"/>
              <w:bottom w:val="single" w:sz="6" w:space="0" w:color="auto"/>
              <w:right w:val="single" w:sz="6" w:space="0" w:color="auto"/>
            </w:tcBorders>
          </w:tcPr>
          <w:p w14:paraId="0DD38B8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12.2</w:t>
            </w:r>
          </w:p>
        </w:tc>
        <w:tc>
          <w:tcPr>
            <w:tcW w:w="975" w:type="dxa"/>
            <w:tcBorders>
              <w:top w:val="single" w:sz="6" w:space="0" w:color="auto"/>
              <w:left w:val="single" w:sz="6" w:space="0" w:color="auto"/>
              <w:bottom w:val="single" w:sz="6" w:space="0" w:color="auto"/>
              <w:right w:val="single" w:sz="6" w:space="0" w:color="auto"/>
            </w:tcBorders>
          </w:tcPr>
          <w:p w14:paraId="079D799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18,509</w:t>
            </w:r>
          </w:p>
        </w:tc>
      </w:tr>
      <w:tr w:rsidR="00132CF4" w:rsidRPr="00392E0D" w14:paraId="72B1171A"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253472E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6828132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2,126</w:t>
            </w:r>
          </w:p>
        </w:tc>
        <w:tc>
          <w:tcPr>
            <w:tcW w:w="974" w:type="dxa"/>
            <w:tcBorders>
              <w:top w:val="single" w:sz="6" w:space="0" w:color="auto"/>
              <w:left w:val="single" w:sz="6" w:space="0" w:color="auto"/>
              <w:bottom w:val="single" w:sz="6" w:space="0" w:color="auto"/>
              <w:right w:val="single" w:sz="6" w:space="0" w:color="auto"/>
            </w:tcBorders>
          </w:tcPr>
          <w:p w14:paraId="6474A5B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12.2</w:t>
            </w:r>
          </w:p>
        </w:tc>
        <w:tc>
          <w:tcPr>
            <w:tcW w:w="975" w:type="dxa"/>
            <w:tcBorders>
              <w:top w:val="single" w:sz="6" w:space="0" w:color="auto"/>
              <w:left w:val="single" w:sz="6" w:space="0" w:color="auto"/>
              <w:bottom w:val="single" w:sz="6" w:space="0" w:color="auto"/>
              <w:right w:val="single" w:sz="6" w:space="0" w:color="auto"/>
            </w:tcBorders>
          </w:tcPr>
          <w:p w14:paraId="6A05A3A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17,399</w:t>
            </w:r>
          </w:p>
        </w:tc>
      </w:tr>
      <w:tr w:rsidR="00132CF4" w:rsidRPr="00392E0D" w14:paraId="0B7170B3" w14:textId="77777777" w:rsidTr="00132CF4">
        <w:trPr>
          <w:trHeight w:val="296"/>
        </w:trPr>
        <w:tc>
          <w:tcPr>
            <w:tcW w:w="974" w:type="dxa"/>
            <w:tcBorders>
              <w:top w:val="single" w:sz="6" w:space="0" w:color="auto"/>
              <w:left w:val="single" w:sz="6" w:space="0" w:color="auto"/>
              <w:bottom w:val="single" w:sz="6" w:space="0" w:color="auto"/>
              <w:right w:val="single" w:sz="6" w:space="0" w:color="auto"/>
            </w:tcBorders>
          </w:tcPr>
          <w:p w14:paraId="0ED03F3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616546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1,730</w:t>
            </w:r>
          </w:p>
        </w:tc>
        <w:tc>
          <w:tcPr>
            <w:tcW w:w="974" w:type="dxa"/>
            <w:tcBorders>
              <w:top w:val="single" w:sz="6" w:space="0" w:color="auto"/>
              <w:left w:val="single" w:sz="6" w:space="0" w:color="auto"/>
              <w:bottom w:val="single" w:sz="6" w:space="0" w:color="auto"/>
              <w:right w:val="single" w:sz="6" w:space="0" w:color="auto"/>
            </w:tcBorders>
          </w:tcPr>
          <w:p w14:paraId="01B2014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11.5</w:t>
            </w:r>
          </w:p>
        </w:tc>
        <w:tc>
          <w:tcPr>
            <w:tcW w:w="975" w:type="dxa"/>
            <w:tcBorders>
              <w:top w:val="single" w:sz="6" w:space="0" w:color="auto"/>
              <w:left w:val="single" w:sz="6" w:space="0" w:color="auto"/>
              <w:bottom w:val="single" w:sz="6" w:space="0" w:color="auto"/>
              <w:right w:val="single" w:sz="6" w:space="0" w:color="auto"/>
            </w:tcBorders>
          </w:tcPr>
          <w:p w14:paraId="24E83AF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15,031</w:t>
            </w:r>
          </w:p>
        </w:tc>
      </w:tr>
    </w:tbl>
    <w:p w14:paraId="2ECBE2BC" w14:textId="2F5BA60B" w:rsidR="00132CF4" w:rsidRPr="00392E0D" w:rsidRDefault="00132CF4" w:rsidP="00132CF4">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74</w:t>
      </w:r>
      <w:r w:rsidRPr="00392E0D">
        <w:rPr>
          <w:rFonts w:cs="Arial"/>
        </w:rPr>
        <w:fldChar w:fldCharType="end"/>
      </w:r>
      <w:r w:rsidRPr="00392E0D">
        <w:rPr>
          <w:rFonts w:cs="Arial"/>
        </w:rPr>
        <w:tab/>
      </w:r>
      <w:r w:rsidRPr="00392E0D">
        <w:rPr>
          <w:rFonts w:eastAsiaTheme="minorHAnsi" w:cs="Arial"/>
          <w:lang w:val="en-AU"/>
        </w:rPr>
        <w:t>South Australia trends (2009 – 2021) – Developmentally on track on five domains</w:t>
      </w:r>
    </w:p>
    <w:tbl>
      <w:tblPr>
        <w:tblW w:w="0" w:type="auto"/>
        <w:tblInd w:w="-38" w:type="dxa"/>
        <w:tblLayout w:type="fixed"/>
        <w:tblLook w:val="0000" w:firstRow="0" w:lastRow="0" w:firstColumn="0" w:lastColumn="0" w:noHBand="0" w:noVBand="0"/>
      </w:tblPr>
      <w:tblGrid>
        <w:gridCol w:w="974"/>
        <w:gridCol w:w="975"/>
        <w:gridCol w:w="974"/>
        <w:gridCol w:w="975"/>
      </w:tblGrid>
      <w:tr w:rsidR="00132CF4" w:rsidRPr="00392E0D" w14:paraId="253D5FBA"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5F2C8BF9" w14:textId="77777777" w:rsidR="00132CF4" w:rsidRPr="00392E0D" w:rsidRDefault="00132CF4" w:rsidP="00253273">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4B02C193" w14:textId="6F49AE8B" w:rsidR="00132CF4" w:rsidRPr="00392E0D" w:rsidRDefault="009B761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43C8F061" w14:textId="729074DD" w:rsidR="00132CF4" w:rsidRPr="00392E0D" w:rsidRDefault="00513B7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0EBA9A20" w14:textId="5FDC1617" w:rsidR="00132CF4" w:rsidRPr="00392E0D" w:rsidRDefault="009B761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132CF4" w:rsidRPr="00392E0D" w14:paraId="3E467CD1"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3E8E33B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7062E8D1" w14:textId="77777777" w:rsidR="00132CF4" w:rsidRPr="00392E0D" w:rsidRDefault="00132CF4" w:rsidP="00207FDA">
            <w:pPr>
              <w:widowControl/>
              <w:adjustRightInd w:val="0"/>
              <w:spacing w:before="60" w:after="60"/>
              <w:ind w:left="-113" w:right="-57"/>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10,161</w:t>
            </w:r>
          </w:p>
        </w:tc>
        <w:tc>
          <w:tcPr>
            <w:tcW w:w="974" w:type="dxa"/>
            <w:tcBorders>
              <w:top w:val="single" w:sz="6" w:space="0" w:color="auto"/>
              <w:left w:val="single" w:sz="6" w:space="0" w:color="auto"/>
              <w:bottom w:val="single" w:sz="6" w:space="0" w:color="auto"/>
              <w:right w:val="single" w:sz="6" w:space="0" w:color="auto"/>
            </w:tcBorders>
          </w:tcPr>
          <w:p w14:paraId="1D8A850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53.7</w:t>
            </w:r>
          </w:p>
        </w:tc>
        <w:tc>
          <w:tcPr>
            <w:tcW w:w="975" w:type="dxa"/>
            <w:tcBorders>
              <w:top w:val="single" w:sz="6" w:space="0" w:color="auto"/>
              <w:left w:val="single" w:sz="6" w:space="0" w:color="auto"/>
              <w:bottom w:val="single" w:sz="6" w:space="0" w:color="auto"/>
              <w:right w:val="single" w:sz="6" w:space="0" w:color="auto"/>
            </w:tcBorders>
          </w:tcPr>
          <w:p w14:paraId="661D1A3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18,911</w:t>
            </w:r>
          </w:p>
        </w:tc>
      </w:tr>
      <w:tr w:rsidR="00132CF4" w:rsidRPr="00392E0D" w14:paraId="5B3835C1"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312F44F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7D75151C" w14:textId="77777777" w:rsidR="00132CF4" w:rsidRPr="00392E0D" w:rsidRDefault="00132CF4" w:rsidP="00207FDA">
            <w:pPr>
              <w:widowControl/>
              <w:adjustRightInd w:val="0"/>
              <w:spacing w:before="60" w:after="60"/>
              <w:ind w:left="-113" w:right="-57"/>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10,186</w:t>
            </w:r>
          </w:p>
        </w:tc>
        <w:tc>
          <w:tcPr>
            <w:tcW w:w="974" w:type="dxa"/>
            <w:tcBorders>
              <w:top w:val="single" w:sz="6" w:space="0" w:color="auto"/>
              <w:left w:val="single" w:sz="6" w:space="0" w:color="auto"/>
              <w:bottom w:val="single" w:sz="6" w:space="0" w:color="auto"/>
              <w:right w:val="single" w:sz="6" w:space="0" w:color="auto"/>
            </w:tcBorders>
          </w:tcPr>
          <w:p w14:paraId="0FB7D68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53.2</w:t>
            </w:r>
          </w:p>
        </w:tc>
        <w:tc>
          <w:tcPr>
            <w:tcW w:w="975" w:type="dxa"/>
            <w:tcBorders>
              <w:top w:val="single" w:sz="6" w:space="0" w:color="auto"/>
              <w:left w:val="single" w:sz="6" w:space="0" w:color="auto"/>
              <w:bottom w:val="single" w:sz="6" w:space="0" w:color="auto"/>
              <w:right w:val="single" w:sz="6" w:space="0" w:color="auto"/>
            </w:tcBorders>
          </w:tcPr>
          <w:p w14:paraId="1AAD963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19,132</w:t>
            </w:r>
          </w:p>
        </w:tc>
      </w:tr>
      <w:tr w:rsidR="00132CF4" w:rsidRPr="00392E0D" w14:paraId="6EBC1C9C"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167316F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5845B4A3" w14:textId="77777777" w:rsidR="00132CF4" w:rsidRPr="00392E0D" w:rsidRDefault="00132CF4" w:rsidP="00207FDA">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9,617</w:t>
            </w:r>
          </w:p>
        </w:tc>
        <w:tc>
          <w:tcPr>
            <w:tcW w:w="974" w:type="dxa"/>
            <w:tcBorders>
              <w:top w:val="single" w:sz="6" w:space="0" w:color="auto"/>
              <w:left w:val="single" w:sz="6" w:space="0" w:color="auto"/>
              <w:bottom w:val="single" w:sz="6" w:space="0" w:color="auto"/>
              <w:right w:val="single" w:sz="6" w:space="0" w:color="auto"/>
            </w:tcBorders>
          </w:tcPr>
          <w:p w14:paraId="052FAB0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52.0</w:t>
            </w:r>
          </w:p>
        </w:tc>
        <w:tc>
          <w:tcPr>
            <w:tcW w:w="975" w:type="dxa"/>
            <w:tcBorders>
              <w:top w:val="single" w:sz="6" w:space="0" w:color="auto"/>
              <w:left w:val="single" w:sz="6" w:space="0" w:color="auto"/>
              <w:bottom w:val="single" w:sz="6" w:space="0" w:color="auto"/>
              <w:right w:val="single" w:sz="6" w:space="0" w:color="auto"/>
            </w:tcBorders>
          </w:tcPr>
          <w:p w14:paraId="10C209C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18,490</w:t>
            </w:r>
          </w:p>
        </w:tc>
      </w:tr>
      <w:tr w:rsidR="00132CF4" w:rsidRPr="00392E0D" w14:paraId="17AB3474"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41A287A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133A082D" w14:textId="77777777" w:rsidR="00132CF4" w:rsidRPr="00392E0D" w:rsidRDefault="00132CF4" w:rsidP="00207FDA">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8,976</w:t>
            </w:r>
          </w:p>
        </w:tc>
        <w:tc>
          <w:tcPr>
            <w:tcW w:w="974" w:type="dxa"/>
            <w:tcBorders>
              <w:top w:val="single" w:sz="6" w:space="0" w:color="auto"/>
              <w:left w:val="single" w:sz="6" w:space="0" w:color="auto"/>
              <w:bottom w:val="single" w:sz="6" w:space="0" w:color="auto"/>
              <w:right w:val="single" w:sz="6" w:space="0" w:color="auto"/>
            </w:tcBorders>
          </w:tcPr>
          <w:p w14:paraId="3458744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51.6</w:t>
            </w:r>
          </w:p>
        </w:tc>
        <w:tc>
          <w:tcPr>
            <w:tcW w:w="975" w:type="dxa"/>
            <w:tcBorders>
              <w:top w:val="single" w:sz="6" w:space="0" w:color="auto"/>
              <w:left w:val="single" w:sz="6" w:space="0" w:color="auto"/>
              <w:bottom w:val="single" w:sz="6" w:space="0" w:color="auto"/>
              <w:right w:val="single" w:sz="6" w:space="0" w:color="auto"/>
            </w:tcBorders>
          </w:tcPr>
          <w:p w14:paraId="407177A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17,411</w:t>
            </w:r>
          </w:p>
        </w:tc>
      </w:tr>
      <w:tr w:rsidR="00132CF4" w:rsidRPr="00392E0D" w14:paraId="7676FB03" w14:textId="77777777" w:rsidTr="00132CF4">
        <w:trPr>
          <w:trHeight w:val="287"/>
        </w:trPr>
        <w:tc>
          <w:tcPr>
            <w:tcW w:w="974" w:type="dxa"/>
            <w:tcBorders>
              <w:top w:val="single" w:sz="6" w:space="0" w:color="auto"/>
              <w:left w:val="single" w:sz="6" w:space="0" w:color="auto"/>
              <w:bottom w:val="single" w:sz="6" w:space="0" w:color="auto"/>
              <w:right w:val="single" w:sz="6" w:space="0" w:color="auto"/>
            </w:tcBorders>
          </w:tcPr>
          <w:p w14:paraId="1E07FA7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331F92A6" w14:textId="77777777" w:rsidR="00132CF4" w:rsidRPr="00392E0D" w:rsidRDefault="00132CF4" w:rsidP="00207FDA">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7,774</w:t>
            </w:r>
          </w:p>
        </w:tc>
        <w:tc>
          <w:tcPr>
            <w:tcW w:w="974" w:type="dxa"/>
            <w:tcBorders>
              <w:top w:val="single" w:sz="6" w:space="0" w:color="auto"/>
              <w:left w:val="single" w:sz="6" w:space="0" w:color="auto"/>
              <w:bottom w:val="single" w:sz="6" w:space="0" w:color="auto"/>
              <w:right w:val="single" w:sz="6" w:space="0" w:color="auto"/>
            </w:tcBorders>
          </w:tcPr>
          <w:p w14:paraId="5D49BCB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51.7</w:t>
            </w:r>
          </w:p>
        </w:tc>
        <w:tc>
          <w:tcPr>
            <w:tcW w:w="975" w:type="dxa"/>
            <w:tcBorders>
              <w:top w:val="single" w:sz="6" w:space="0" w:color="auto"/>
              <w:left w:val="single" w:sz="6" w:space="0" w:color="auto"/>
              <w:bottom w:val="single" w:sz="6" w:space="0" w:color="auto"/>
              <w:right w:val="single" w:sz="6" w:space="0" w:color="auto"/>
            </w:tcBorders>
          </w:tcPr>
          <w:p w14:paraId="70D9FDE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15,038</w:t>
            </w:r>
          </w:p>
        </w:tc>
      </w:tr>
    </w:tbl>
    <w:p w14:paraId="1E2876B7" w14:textId="7267E2EF" w:rsidR="00132CF4" w:rsidRPr="00392E0D" w:rsidRDefault="00132CF4" w:rsidP="00132CF4">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75</w:t>
      </w:r>
      <w:r w:rsidRPr="00392E0D">
        <w:rPr>
          <w:rFonts w:cs="Arial"/>
        </w:rPr>
        <w:fldChar w:fldCharType="end"/>
      </w:r>
      <w:r w:rsidRPr="00392E0D">
        <w:rPr>
          <w:rFonts w:cs="Arial"/>
        </w:rPr>
        <w:tab/>
      </w:r>
      <w:r w:rsidRPr="00392E0D">
        <w:rPr>
          <w:rFonts w:eastAsiaTheme="minorHAnsi" w:cs="Arial"/>
          <w:lang w:val="en-AU"/>
        </w:rPr>
        <w:t>South Australia trends (2009 – 2021) – Physical health and wellbeing domain</w:t>
      </w:r>
      <w:r w:rsidRPr="00392E0D">
        <w:rPr>
          <w:rFonts w:eastAsiaTheme="minorHAnsi" w:cs="Arial"/>
          <w:lang w:val="en-AU"/>
        </w:rPr>
        <w:tab/>
      </w:r>
    </w:p>
    <w:tbl>
      <w:tblPr>
        <w:tblW w:w="10236" w:type="dxa"/>
        <w:tblInd w:w="-38" w:type="dxa"/>
        <w:tblLayout w:type="fixed"/>
        <w:tblLook w:val="0000" w:firstRow="0" w:lastRow="0" w:firstColumn="0" w:lastColumn="0" w:noHBand="0" w:noVBand="0"/>
      </w:tblPr>
      <w:tblGrid>
        <w:gridCol w:w="974"/>
        <w:gridCol w:w="1323"/>
        <w:gridCol w:w="1323"/>
        <w:gridCol w:w="1323"/>
        <w:gridCol w:w="1323"/>
        <w:gridCol w:w="1323"/>
        <w:gridCol w:w="1323"/>
        <w:gridCol w:w="1324"/>
      </w:tblGrid>
      <w:tr w:rsidR="00132CF4" w:rsidRPr="00392E0D" w14:paraId="432610BC"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4EF27C63" w14:textId="77777777" w:rsidR="00132CF4" w:rsidRPr="00392E0D" w:rsidRDefault="00132CF4" w:rsidP="00253273">
            <w:pPr>
              <w:widowControl/>
              <w:adjustRightInd w:val="0"/>
              <w:spacing w:before="60" w:after="60"/>
              <w:jc w:val="center"/>
              <w:rPr>
                <w:rFonts w:ascii="Arial" w:eastAsiaTheme="minorHAnsi" w:hAnsi="Arial" w:cs="Arial"/>
                <w:color w:val="000000"/>
                <w:sz w:val="20"/>
                <w:szCs w:val="20"/>
                <w:lang w:val="en-AU"/>
              </w:rPr>
            </w:pPr>
          </w:p>
        </w:tc>
        <w:tc>
          <w:tcPr>
            <w:tcW w:w="1323" w:type="dxa"/>
            <w:tcBorders>
              <w:top w:val="single" w:sz="6" w:space="0" w:color="auto"/>
              <w:left w:val="single" w:sz="6" w:space="0" w:color="auto"/>
              <w:bottom w:val="single" w:sz="6" w:space="0" w:color="auto"/>
              <w:right w:val="single" w:sz="6" w:space="0" w:color="auto"/>
            </w:tcBorders>
            <w:vAlign w:val="bottom"/>
          </w:tcPr>
          <w:p w14:paraId="479AAFE4" w14:textId="12404DE0"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(n)</w:t>
            </w:r>
          </w:p>
        </w:tc>
        <w:tc>
          <w:tcPr>
            <w:tcW w:w="1323" w:type="dxa"/>
            <w:tcBorders>
              <w:top w:val="single" w:sz="6" w:space="0" w:color="auto"/>
              <w:left w:val="single" w:sz="6" w:space="0" w:color="auto"/>
              <w:bottom w:val="single" w:sz="6" w:space="0" w:color="auto"/>
              <w:right w:val="single" w:sz="6" w:space="0" w:color="auto"/>
            </w:tcBorders>
            <w:vAlign w:val="bottom"/>
          </w:tcPr>
          <w:p w14:paraId="145A9413" w14:textId="1A1EBDB9"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w:t>
            </w:r>
          </w:p>
        </w:tc>
        <w:tc>
          <w:tcPr>
            <w:tcW w:w="1323" w:type="dxa"/>
            <w:tcBorders>
              <w:top w:val="single" w:sz="6" w:space="0" w:color="auto"/>
              <w:left w:val="single" w:sz="6" w:space="0" w:color="auto"/>
              <w:bottom w:val="single" w:sz="6" w:space="0" w:color="auto"/>
              <w:right w:val="single" w:sz="6" w:space="0" w:color="auto"/>
            </w:tcBorders>
            <w:vAlign w:val="bottom"/>
          </w:tcPr>
          <w:p w14:paraId="71EF52FF" w14:textId="30CE7DA2"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(n)</w:t>
            </w:r>
          </w:p>
        </w:tc>
        <w:tc>
          <w:tcPr>
            <w:tcW w:w="1323" w:type="dxa"/>
            <w:tcBorders>
              <w:top w:val="single" w:sz="6" w:space="0" w:color="auto"/>
              <w:left w:val="single" w:sz="6" w:space="0" w:color="auto"/>
              <w:bottom w:val="single" w:sz="6" w:space="0" w:color="auto"/>
              <w:right w:val="single" w:sz="6" w:space="0" w:color="auto"/>
            </w:tcBorders>
            <w:vAlign w:val="bottom"/>
          </w:tcPr>
          <w:p w14:paraId="05500663" w14:textId="00EFC6EF"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w:t>
            </w:r>
          </w:p>
        </w:tc>
        <w:tc>
          <w:tcPr>
            <w:tcW w:w="1323" w:type="dxa"/>
            <w:tcBorders>
              <w:top w:val="single" w:sz="6" w:space="0" w:color="auto"/>
              <w:left w:val="single" w:sz="6" w:space="0" w:color="auto"/>
              <w:bottom w:val="single" w:sz="6" w:space="0" w:color="auto"/>
              <w:right w:val="single" w:sz="6" w:space="0" w:color="auto"/>
            </w:tcBorders>
            <w:vAlign w:val="bottom"/>
          </w:tcPr>
          <w:p w14:paraId="6A11C048" w14:textId="2C41F451"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(n)</w:t>
            </w:r>
          </w:p>
        </w:tc>
        <w:tc>
          <w:tcPr>
            <w:tcW w:w="1323" w:type="dxa"/>
            <w:tcBorders>
              <w:top w:val="single" w:sz="6" w:space="0" w:color="auto"/>
              <w:left w:val="single" w:sz="6" w:space="0" w:color="auto"/>
              <w:bottom w:val="single" w:sz="6" w:space="0" w:color="auto"/>
              <w:right w:val="single" w:sz="6" w:space="0" w:color="auto"/>
            </w:tcBorders>
            <w:vAlign w:val="bottom"/>
          </w:tcPr>
          <w:p w14:paraId="460A6C76" w14:textId="2508D66D"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w:t>
            </w:r>
          </w:p>
        </w:tc>
        <w:tc>
          <w:tcPr>
            <w:tcW w:w="1324" w:type="dxa"/>
            <w:tcBorders>
              <w:top w:val="single" w:sz="6" w:space="0" w:color="auto"/>
              <w:left w:val="single" w:sz="6" w:space="0" w:color="auto"/>
              <w:bottom w:val="single" w:sz="6" w:space="0" w:color="auto"/>
              <w:right w:val="single" w:sz="6" w:space="0" w:color="auto"/>
            </w:tcBorders>
            <w:vAlign w:val="bottom"/>
          </w:tcPr>
          <w:p w14:paraId="18EFD0B3" w14:textId="08F0C832" w:rsidR="00132CF4" w:rsidRPr="00392E0D" w:rsidRDefault="009B761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132CF4" w:rsidRPr="00392E0D" w14:paraId="51C69762" w14:textId="77777777" w:rsidTr="00207FDA">
        <w:trPr>
          <w:trHeight w:val="311"/>
        </w:trPr>
        <w:tc>
          <w:tcPr>
            <w:tcW w:w="974" w:type="dxa"/>
            <w:tcBorders>
              <w:top w:val="single" w:sz="6" w:space="0" w:color="auto"/>
              <w:left w:val="single" w:sz="6" w:space="0" w:color="auto"/>
              <w:bottom w:val="single" w:sz="6" w:space="0" w:color="auto"/>
              <w:right w:val="single" w:sz="6" w:space="0" w:color="auto"/>
            </w:tcBorders>
          </w:tcPr>
          <w:p w14:paraId="265CCE7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23" w:type="dxa"/>
            <w:tcBorders>
              <w:top w:val="single" w:sz="6" w:space="0" w:color="auto"/>
              <w:left w:val="single" w:sz="6" w:space="0" w:color="auto"/>
              <w:bottom w:val="single" w:sz="6" w:space="0" w:color="auto"/>
              <w:right w:val="single" w:sz="6" w:space="0" w:color="auto"/>
            </w:tcBorders>
          </w:tcPr>
          <w:p w14:paraId="516A9B9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14,725</w:t>
            </w:r>
          </w:p>
        </w:tc>
        <w:tc>
          <w:tcPr>
            <w:tcW w:w="1323" w:type="dxa"/>
            <w:tcBorders>
              <w:top w:val="single" w:sz="6" w:space="0" w:color="auto"/>
              <w:left w:val="single" w:sz="6" w:space="0" w:color="auto"/>
              <w:bottom w:val="single" w:sz="6" w:space="0" w:color="auto"/>
              <w:right w:val="single" w:sz="6" w:space="0" w:color="auto"/>
            </w:tcBorders>
          </w:tcPr>
          <w:p w14:paraId="01DF548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77.7</w:t>
            </w:r>
          </w:p>
        </w:tc>
        <w:tc>
          <w:tcPr>
            <w:tcW w:w="1323" w:type="dxa"/>
            <w:tcBorders>
              <w:top w:val="single" w:sz="6" w:space="0" w:color="auto"/>
              <w:left w:val="single" w:sz="6" w:space="0" w:color="auto"/>
              <w:bottom w:val="single" w:sz="6" w:space="0" w:color="auto"/>
              <w:right w:val="single" w:sz="6" w:space="0" w:color="auto"/>
            </w:tcBorders>
          </w:tcPr>
          <w:p w14:paraId="6FB9CD9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2,200</w:t>
            </w:r>
          </w:p>
        </w:tc>
        <w:tc>
          <w:tcPr>
            <w:tcW w:w="1323" w:type="dxa"/>
            <w:tcBorders>
              <w:top w:val="single" w:sz="6" w:space="0" w:color="auto"/>
              <w:left w:val="single" w:sz="6" w:space="0" w:color="auto"/>
              <w:bottom w:val="single" w:sz="6" w:space="0" w:color="auto"/>
              <w:right w:val="single" w:sz="6" w:space="0" w:color="auto"/>
            </w:tcBorders>
          </w:tcPr>
          <w:p w14:paraId="461166A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11.6</w:t>
            </w:r>
          </w:p>
        </w:tc>
        <w:tc>
          <w:tcPr>
            <w:tcW w:w="1323" w:type="dxa"/>
            <w:tcBorders>
              <w:top w:val="single" w:sz="6" w:space="0" w:color="auto"/>
              <w:left w:val="single" w:sz="6" w:space="0" w:color="auto"/>
              <w:bottom w:val="single" w:sz="6" w:space="0" w:color="auto"/>
              <w:right w:val="single" w:sz="6" w:space="0" w:color="auto"/>
            </w:tcBorders>
          </w:tcPr>
          <w:p w14:paraId="249B55F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2,023</w:t>
            </w:r>
          </w:p>
        </w:tc>
        <w:tc>
          <w:tcPr>
            <w:tcW w:w="1323" w:type="dxa"/>
            <w:tcBorders>
              <w:top w:val="single" w:sz="6" w:space="0" w:color="auto"/>
              <w:left w:val="single" w:sz="6" w:space="0" w:color="auto"/>
              <w:bottom w:val="single" w:sz="6" w:space="0" w:color="auto"/>
              <w:right w:val="single" w:sz="6" w:space="0" w:color="auto"/>
            </w:tcBorders>
          </w:tcPr>
          <w:p w14:paraId="763D4A3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10.7</w:t>
            </w:r>
          </w:p>
        </w:tc>
        <w:tc>
          <w:tcPr>
            <w:tcW w:w="1324" w:type="dxa"/>
            <w:tcBorders>
              <w:top w:val="single" w:sz="6" w:space="0" w:color="auto"/>
              <w:left w:val="single" w:sz="6" w:space="0" w:color="auto"/>
              <w:bottom w:val="single" w:sz="6" w:space="0" w:color="auto"/>
              <w:right w:val="single" w:sz="6" w:space="0" w:color="auto"/>
            </w:tcBorders>
          </w:tcPr>
          <w:p w14:paraId="2854A18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18,948</w:t>
            </w:r>
          </w:p>
        </w:tc>
      </w:tr>
      <w:tr w:rsidR="00132CF4" w:rsidRPr="00392E0D" w14:paraId="44E46A36"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4AAA596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23" w:type="dxa"/>
            <w:tcBorders>
              <w:top w:val="single" w:sz="6" w:space="0" w:color="auto"/>
              <w:left w:val="single" w:sz="6" w:space="0" w:color="auto"/>
              <w:bottom w:val="single" w:sz="6" w:space="0" w:color="auto"/>
              <w:right w:val="single" w:sz="6" w:space="0" w:color="auto"/>
            </w:tcBorders>
          </w:tcPr>
          <w:p w14:paraId="043587B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14,924</w:t>
            </w:r>
          </w:p>
        </w:tc>
        <w:tc>
          <w:tcPr>
            <w:tcW w:w="1323" w:type="dxa"/>
            <w:tcBorders>
              <w:top w:val="single" w:sz="6" w:space="0" w:color="auto"/>
              <w:left w:val="single" w:sz="6" w:space="0" w:color="auto"/>
              <w:bottom w:val="single" w:sz="6" w:space="0" w:color="auto"/>
              <w:right w:val="single" w:sz="6" w:space="0" w:color="auto"/>
            </w:tcBorders>
          </w:tcPr>
          <w:p w14:paraId="14A508A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77.8</w:t>
            </w:r>
          </w:p>
        </w:tc>
        <w:tc>
          <w:tcPr>
            <w:tcW w:w="1323" w:type="dxa"/>
            <w:tcBorders>
              <w:top w:val="single" w:sz="6" w:space="0" w:color="auto"/>
              <w:left w:val="single" w:sz="6" w:space="0" w:color="auto"/>
              <w:bottom w:val="single" w:sz="6" w:space="0" w:color="auto"/>
              <w:right w:val="single" w:sz="6" w:space="0" w:color="auto"/>
            </w:tcBorders>
          </w:tcPr>
          <w:p w14:paraId="1A4A6C0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2,188</w:t>
            </w:r>
          </w:p>
        </w:tc>
        <w:tc>
          <w:tcPr>
            <w:tcW w:w="1323" w:type="dxa"/>
            <w:tcBorders>
              <w:top w:val="single" w:sz="6" w:space="0" w:color="auto"/>
              <w:left w:val="single" w:sz="6" w:space="0" w:color="auto"/>
              <w:bottom w:val="single" w:sz="6" w:space="0" w:color="auto"/>
              <w:right w:val="single" w:sz="6" w:space="0" w:color="auto"/>
            </w:tcBorders>
          </w:tcPr>
          <w:p w14:paraId="341E1AB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11.4</w:t>
            </w:r>
          </w:p>
        </w:tc>
        <w:tc>
          <w:tcPr>
            <w:tcW w:w="1323" w:type="dxa"/>
            <w:tcBorders>
              <w:top w:val="single" w:sz="6" w:space="0" w:color="auto"/>
              <w:left w:val="single" w:sz="6" w:space="0" w:color="auto"/>
              <w:bottom w:val="single" w:sz="6" w:space="0" w:color="auto"/>
              <w:right w:val="single" w:sz="6" w:space="0" w:color="auto"/>
            </w:tcBorders>
          </w:tcPr>
          <w:p w14:paraId="01F3826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2,072</w:t>
            </w:r>
          </w:p>
        </w:tc>
        <w:tc>
          <w:tcPr>
            <w:tcW w:w="1323" w:type="dxa"/>
            <w:tcBorders>
              <w:top w:val="single" w:sz="6" w:space="0" w:color="auto"/>
              <w:left w:val="single" w:sz="6" w:space="0" w:color="auto"/>
              <w:bottom w:val="single" w:sz="6" w:space="0" w:color="auto"/>
              <w:right w:val="single" w:sz="6" w:space="0" w:color="auto"/>
            </w:tcBorders>
          </w:tcPr>
          <w:p w14:paraId="75DD509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1324" w:type="dxa"/>
            <w:tcBorders>
              <w:top w:val="single" w:sz="6" w:space="0" w:color="auto"/>
              <w:left w:val="single" w:sz="6" w:space="0" w:color="auto"/>
              <w:bottom w:val="single" w:sz="6" w:space="0" w:color="auto"/>
              <w:right w:val="single" w:sz="6" w:space="0" w:color="auto"/>
            </w:tcBorders>
          </w:tcPr>
          <w:p w14:paraId="4668FDF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19,184</w:t>
            </w:r>
          </w:p>
        </w:tc>
      </w:tr>
      <w:tr w:rsidR="00132CF4" w:rsidRPr="00392E0D" w14:paraId="722B7F43"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09CB864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23" w:type="dxa"/>
            <w:tcBorders>
              <w:top w:val="single" w:sz="6" w:space="0" w:color="auto"/>
              <w:left w:val="single" w:sz="6" w:space="0" w:color="auto"/>
              <w:bottom w:val="single" w:sz="6" w:space="0" w:color="auto"/>
              <w:right w:val="single" w:sz="6" w:space="0" w:color="auto"/>
            </w:tcBorders>
          </w:tcPr>
          <w:p w14:paraId="5FEAA0B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14,081</w:t>
            </w:r>
          </w:p>
        </w:tc>
        <w:tc>
          <w:tcPr>
            <w:tcW w:w="1323" w:type="dxa"/>
            <w:tcBorders>
              <w:top w:val="single" w:sz="6" w:space="0" w:color="auto"/>
              <w:left w:val="single" w:sz="6" w:space="0" w:color="auto"/>
              <w:bottom w:val="single" w:sz="6" w:space="0" w:color="auto"/>
              <w:right w:val="single" w:sz="6" w:space="0" w:color="auto"/>
            </w:tcBorders>
          </w:tcPr>
          <w:p w14:paraId="4724674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76.0</w:t>
            </w:r>
          </w:p>
        </w:tc>
        <w:tc>
          <w:tcPr>
            <w:tcW w:w="1323" w:type="dxa"/>
            <w:tcBorders>
              <w:top w:val="single" w:sz="6" w:space="0" w:color="auto"/>
              <w:left w:val="single" w:sz="6" w:space="0" w:color="auto"/>
              <w:bottom w:val="single" w:sz="6" w:space="0" w:color="auto"/>
              <w:right w:val="single" w:sz="6" w:space="0" w:color="auto"/>
            </w:tcBorders>
          </w:tcPr>
          <w:p w14:paraId="5A9B87C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2,456</w:t>
            </w:r>
          </w:p>
        </w:tc>
        <w:tc>
          <w:tcPr>
            <w:tcW w:w="1323" w:type="dxa"/>
            <w:tcBorders>
              <w:top w:val="single" w:sz="6" w:space="0" w:color="auto"/>
              <w:left w:val="single" w:sz="6" w:space="0" w:color="auto"/>
              <w:bottom w:val="single" w:sz="6" w:space="0" w:color="auto"/>
              <w:right w:val="single" w:sz="6" w:space="0" w:color="auto"/>
            </w:tcBorders>
          </w:tcPr>
          <w:p w14:paraId="1BB4CDD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13.3</w:t>
            </w:r>
          </w:p>
        </w:tc>
        <w:tc>
          <w:tcPr>
            <w:tcW w:w="1323" w:type="dxa"/>
            <w:tcBorders>
              <w:top w:val="single" w:sz="6" w:space="0" w:color="auto"/>
              <w:left w:val="single" w:sz="6" w:space="0" w:color="auto"/>
              <w:bottom w:val="single" w:sz="6" w:space="0" w:color="auto"/>
              <w:right w:val="single" w:sz="6" w:space="0" w:color="auto"/>
            </w:tcBorders>
          </w:tcPr>
          <w:p w14:paraId="02495DD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1,993</w:t>
            </w:r>
          </w:p>
        </w:tc>
        <w:tc>
          <w:tcPr>
            <w:tcW w:w="1323" w:type="dxa"/>
            <w:tcBorders>
              <w:top w:val="single" w:sz="6" w:space="0" w:color="auto"/>
              <w:left w:val="single" w:sz="6" w:space="0" w:color="auto"/>
              <w:bottom w:val="single" w:sz="6" w:space="0" w:color="auto"/>
              <w:right w:val="single" w:sz="6" w:space="0" w:color="auto"/>
            </w:tcBorders>
          </w:tcPr>
          <w:p w14:paraId="53A1C57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1324" w:type="dxa"/>
            <w:tcBorders>
              <w:top w:val="single" w:sz="6" w:space="0" w:color="auto"/>
              <w:left w:val="single" w:sz="6" w:space="0" w:color="auto"/>
              <w:bottom w:val="single" w:sz="6" w:space="0" w:color="auto"/>
              <w:right w:val="single" w:sz="6" w:space="0" w:color="auto"/>
            </w:tcBorders>
          </w:tcPr>
          <w:p w14:paraId="00204CB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18,530</w:t>
            </w:r>
          </w:p>
        </w:tc>
      </w:tr>
      <w:tr w:rsidR="00132CF4" w:rsidRPr="00392E0D" w14:paraId="53A64B75"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09BE206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23" w:type="dxa"/>
            <w:tcBorders>
              <w:top w:val="single" w:sz="6" w:space="0" w:color="auto"/>
              <w:left w:val="single" w:sz="6" w:space="0" w:color="auto"/>
              <w:bottom w:val="single" w:sz="6" w:space="0" w:color="auto"/>
              <w:right w:val="single" w:sz="6" w:space="0" w:color="auto"/>
            </w:tcBorders>
          </w:tcPr>
          <w:p w14:paraId="5DEF042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13,125</w:t>
            </w:r>
          </w:p>
        </w:tc>
        <w:tc>
          <w:tcPr>
            <w:tcW w:w="1323" w:type="dxa"/>
            <w:tcBorders>
              <w:top w:val="single" w:sz="6" w:space="0" w:color="auto"/>
              <w:left w:val="single" w:sz="6" w:space="0" w:color="auto"/>
              <w:bottom w:val="single" w:sz="6" w:space="0" w:color="auto"/>
              <w:right w:val="single" w:sz="6" w:space="0" w:color="auto"/>
            </w:tcBorders>
          </w:tcPr>
          <w:p w14:paraId="3580725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75.2</w:t>
            </w:r>
          </w:p>
        </w:tc>
        <w:tc>
          <w:tcPr>
            <w:tcW w:w="1323" w:type="dxa"/>
            <w:tcBorders>
              <w:top w:val="single" w:sz="6" w:space="0" w:color="auto"/>
              <w:left w:val="single" w:sz="6" w:space="0" w:color="auto"/>
              <w:bottom w:val="single" w:sz="6" w:space="0" w:color="auto"/>
              <w:right w:val="single" w:sz="6" w:space="0" w:color="auto"/>
            </w:tcBorders>
          </w:tcPr>
          <w:p w14:paraId="1BAE4ED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2,537</w:t>
            </w:r>
          </w:p>
        </w:tc>
        <w:tc>
          <w:tcPr>
            <w:tcW w:w="1323" w:type="dxa"/>
            <w:tcBorders>
              <w:top w:val="single" w:sz="6" w:space="0" w:color="auto"/>
              <w:left w:val="single" w:sz="6" w:space="0" w:color="auto"/>
              <w:bottom w:val="single" w:sz="6" w:space="0" w:color="auto"/>
              <w:right w:val="single" w:sz="6" w:space="0" w:color="auto"/>
            </w:tcBorders>
          </w:tcPr>
          <w:p w14:paraId="0913578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14.5</w:t>
            </w:r>
          </w:p>
        </w:tc>
        <w:tc>
          <w:tcPr>
            <w:tcW w:w="1323" w:type="dxa"/>
            <w:tcBorders>
              <w:top w:val="single" w:sz="6" w:space="0" w:color="auto"/>
              <w:left w:val="single" w:sz="6" w:space="0" w:color="auto"/>
              <w:bottom w:val="single" w:sz="6" w:space="0" w:color="auto"/>
              <w:right w:val="single" w:sz="6" w:space="0" w:color="auto"/>
            </w:tcBorders>
          </w:tcPr>
          <w:p w14:paraId="4611FCE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1,783</w:t>
            </w:r>
          </w:p>
        </w:tc>
        <w:tc>
          <w:tcPr>
            <w:tcW w:w="1323" w:type="dxa"/>
            <w:tcBorders>
              <w:top w:val="single" w:sz="6" w:space="0" w:color="auto"/>
              <w:left w:val="single" w:sz="6" w:space="0" w:color="auto"/>
              <w:bottom w:val="single" w:sz="6" w:space="0" w:color="auto"/>
              <w:right w:val="single" w:sz="6" w:space="0" w:color="auto"/>
            </w:tcBorders>
          </w:tcPr>
          <w:p w14:paraId="3B203DD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10.2</w:t>
            </w:r>
          </w:p>
        </w:tc>
        <w:tc>
          <w:tcPr>
            <w:tcW w:w="1324" w:type="dxa"/>
            <w:tcBorders>
              <w:top w:val="single" w:sz="6" w:space="0" w:color="auto"/>
              <w:left w:val="single" w:sz="6" w:space="0" w:color="auto"/>
              <w:bottom w:val="single" w:sz="6" w:space="0" w:color="auto"/>
              <w:right w:val="single" w:sz="6" w:space="0" w:color="auto"/>
            </w:tcBorders>
          </w:tcPr>
          <w:p w14:paraId="5EF0B6E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17,445</w:t>
            </w:r>
          </w:p>
        </w:tc>
      </w:tr>
      <w:tr w:rsidR="00132CF4" w:rsidRPr="00392E0D" w14:paraId="76CD9145"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2DA9AB8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23" w:type="dxa"/>
            <w:tcBorders>
              <w:top w:val="single" w:sz="6" w:space="0" w:color="auto"/>
              <w:left w:val="single" w:sz="6" w:space="0" w:color="auto"/>
              <w:bottom w:val="single" w:sz="6" w:space="0" w:color="auto"/>
              <w:right w:val="single" w:sz="6" w:space="0" w:color="auto"/>
            </w:tcBorders>
          </w:tcPr>
          <w:p w14:paraId="61266D0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11,331</w:t>
            </w:r>
          </w:p>
        </w:tc>
        <w:tc>
          <w:tcPr>
            <w:tcW w:w="1323" w:type="dxa"/>
            <w:tcBorders>
              <w:top w:val="single" w:sz="6" w:space="0" w:color="auto"/>
              <w:left w:val="single" w:sz="6" w:space="0" w:color="auto"/>
              <w:bottom w:val="single" w:sz="6" w:space="0" w:color="auto"/>
              <w:right w:val="single" w:sz="6" w:space="0" w:color="auto"/>
            </w:tcBorders>
          </w:tcPr>
          <w:p w14:paraId="1A32741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75.2</w:t>
            </w:r>
          </w:p>
        </w:tc>
        <w:tc>
          <w:tcPr>
            <w:tcW w:w="1323" w:type="dxa"/>
            <w:tcBorders>
              <w:top w:val="single" w:sz="6" w:space="0" w:color="auto"/>
              <w:left w:val="single" w:sz="6" w:space="0" w:color="auto"/>
              <w:bottom w:val="single" w:sz="6" w:space="0" w:color="auto"/>
              <w:right w:val="single" w:sz="6" w:space="0" w:color="auto"/>
            </w:tcBorders>
          </w:tcPr>
          <w:p w14:paraId="1C9CBDE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2,228</w:t>
            </w:r>
          </w:p>
        </w:tc>
        <w:tc>
          <w:tcPr>
            <w:tcW w:w="1323" w:type="dxa"/>
            <w:tcBorders>
              <w:top w:val="single" w:sz="6" w:space="0" w:color="auto"/>
              <w:left w:val="single" w:sz="6" w:space="0" w:color="auto"/>
              <w:bottom w:val="single" w:sz="6" w:space="0" w:color="auto"/>
              <w:right w:val="single" w:sz="6" w:space="0" w:color="auto"/>
            </w:tcBorders>
          </w:tcPr>
          <w:p w14:paraId="442DD9B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w:t>
            </w:r>
          </w:p>
        </w:tc>
        <w:tc>
          <w:tcPr>
            <w:tcW w:w="1323" w:type="dxa"/>
            <w:tcBorders>
              <w:top w:val="single" w:sz="6" w:space="0" w:color="auto"/>
              <w:left w:val="single" w:sz="6" w:space="0" w:color="auto"/>
              <w:bottom w:val="single" w:sz="6" w:space="0" w:color="auto"/>
              <w:right w:val="single" w:sz="6" w:space="0" w:color="auto"/>
            </w:tcBorders>
          </w:tcPr>
          <w:p w14:paraId="2E067EC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1,503</w:t>
            </w:r>
          </w:p>
        </w:tc>
        <w:tc>
          <w:tcPr>
            <w:tcW w:w="1323" w:type="dxa"/>
            <w:tcBorders>
              <w:top w:val="single" w:sz="6" w:space="0" w:color="auto"/>
              <w:left w:val="single" w:sz="6" w:space="0" w:color="auto"/>
              <w:bottom w:val="single" w:sz="6" w:space="0" w:color="auto"/>
              <w:right w:val="single" w:sz="6" w:space="0" w:color="auto"/>
            </w:tcBorders>
          </w:tcPr>
          <w:p w14:paraId="4A395ED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10.0</w:t>
            </w:r>
          </w:p>
        </w:tc>
        <w:tc>
          <w:tcPr>
            <w:tcW w:w="1324" w:type="dxa"/>
            <w:tcBorders>
              <w:top w:val="single" w:sz="6" w:space="0" w:color="auto"/>
              <w:left w:val="single" w:sz="6" w:space="0" w:color="auto"/>
              <w:bottom w:val="single" w:sz="6" w:space="0" w:color="auto"/>
              <w:right w:val="single" w:sz="6" w:space="0" w:color="auto"/>
            </w:tcBorders>
          </w:tcPr>
          <w:p w14:paraId="15F86F2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15,062</w:t>
            </w:r>
          </w:p>
        </w:tc>
      </w:tr>
    </w:tbl>
    <w:p w14:paraId="28EF2D65" w14:textId="77777777" w:rsidR="00207FDA" w:rsidRPr="00392E0D" w:rsidRDefault="00207FDA" w:rsidP="00132CF4">
      <w:pPr>
        <w:pStyle w:val="Caption"/>
        <w:rPr>
          <w:rFonts w:cs="Arial"/>
        </w:rPr>
      </w:pPr>
    </w:p>
    <w:p w14:paraId="63A65762" w14:textId="77777777" w:rsidR="00207FDA" w:rsidRPr="00392E0D" w:rsidRDefault="00207FDA">
      <w:pPr>
        <w:widowControl/>
        <w:autoSpaceDE/>
        <w:autoSpaceDN/>
        <w:rPr>
          <w:rFonts w:ascii="Arial" w:eastAsia="Times New Roman" w:hAnsi="Arial" w:cs="Arial"/>
          <w:color w:val="000000" w:themeColor="text1"/>
          <w:sz w:val="21"/>
          <w:szCs w:val="18"/>
        </w:rPr>
      </w:pPr>
      <w:r w:rsidRPr="00392E0D">
        <w:rPr>
          <w:rFonts w:ascii="Arial" w:hAnsi="Arial" w:cs="Arial"/>
        </w:rPr>
        <w:br w:type="page"/>
      </w:r>
    </w:p>
    <w:p w14:paraId="224750E8" w14:textId="7E26E831" w:rsidR="00132CF4" w:rsidRPr="00392E0D" w:rsidRDefault="00132CF4" w:rsidP="00132CF4">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76</w:t>
      </w:r>
      <w:r w:rsidRPr="00392E0D">
        <w:rPr>
          <w:rFonts w:cs="Arial"/>
        </w:rPr>
        <w:fldChar w:fldCharType="end"/>
      </w:r>
      <w:r w:rsidRPr="00392E0D">
        <w:rPr>
          <w:rFonts w:cs="Arial"/>
        </w:rPr>
        <w:tab/>
      </w:r>
      <w:r w:rsidRPr="00392E0D">
        <w:rPr>
          <w:rFonts w:eastAsiaTheme="minorHAnsi" w:cs="Arial"/>
          <w:lang w:val="en-AU"/>
        </w:rPr>
        <w:t>South Australia trends (2009 – 2021) – Social Competence domain</w:t>
      </w:r>
    </w:p>
    <w:tbl>
      <w:tblPr>
        <w:tblW w:w="10236" w:type="dxa"/>
        <w:tblInd w:w="-38" w:type="dxa"/>
        <w:tblLayout w:type="fixed"/>
        <w:tblLook w:val="0000" w:firstRow="0" w:lastRow="0" w:firstColumn="0" w:lastColumn="0" w:noHBand="0" w:noVBand="0"/>
      </w:tblPr>
      <w:tblGrid>
        <w:gridCol w:w="974"/>
        <w:gridCol w:w="1323"/>
        <w:gridCol w:w="1323"/>
        <w:gridCol w:w="1323"/>
        <w:gridCol w:w="1323"/>
        <w:gridCol w:w="1323"/>
        <w:gridCol w:w="1323"/>
        <w:gridCol w:w="1324"/>
      </w:tblGrid>
      <w:tr w:rsidR="00132CF4" w:rsidRPr="00392E0D" w14:paraId="3A65100A"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6BCA5AFD" w14:textId="77777777" w:rsidR="00132CF4" w:rsidRPr="00392E0D" w:rsidRDefault="00132CF4" w:rsidP="00253273">
            <w:pPr>
              <w:widowControl/>
              <w:adjustRightInd w:val="0"/>
              <w:spacing w:before="60" w:after="60"/>
              <w:jc w:val="center"/>
              <w:rPr>
                <w:rFonts w:ascii="Arial" w:eastAsiaTheme="minorHAnsi" w:hAnsi="Arial" w:cs="Arial"/>
                <w:color w:val="000000"/>
                <w:sz w:val="20"/>
                <w:szCs w:val="20"/>
                <w:lang w:val="en-AU"/>
              </w:rPr>
            </w:pPr>
          </w:p>
        </w:tc>
        <w:tc>
          <w:tcPr>
            <w:tcW w:w="1323" w:type="dxa"/>
            <w:tcBorders>
              <w:top w:val="single" w:sz="6" w:space="0" w:color="auto"/>
              <w:left w:val="single" w:sz="6" w:space="0" w:color="auto"/>
              <w:bottom w:val="single" w:sz="6" w:space="0" w:color="auto"/>
              <w:right w:val="single" w:sz="6" w:space="0" w:color="auto"/>
            </w:tcBorders>
            <w:vAlign w:val="bottom"/>
          </w:tcPr>
          <w:p w14:paraId="4D119512" w14:textId="09D9DED1"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(n)</w:t>
            </w:r>
          </w:p>
        </w:tc>
        <w:tc>
          <w:tcPr>
            <w:tcW w:w="1323" w:type="dxa"/>
            <w:tcBorders>
              <w:top w:val="single" w:sz="6" w:space="0" w:color="auto"/>
              <w:left w:val="single" w:sz="6" w:space="0" w:color="auto"/>
              <w:bottom w:val="single" w:sz="6" w:space="0" w:color="auto"/>
              <w:right w:val="single" w:sz="6" w:space="0" w:color="auto"/>
            </w:tcBorders>
            <w:vAlign w:val="bottom"/>
          </w:tcPr>
          <w:p w14:paraId="3690A271" w14:textId="3A461AA9"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w:t>
            </w:r>
          </w:p>
        </w:tc>
        <w:tc>
          <w:tcPr>
            <w:tcW w:w="1323" w:type="dxa"/>
            <w:tcBorders>
              <w:top w:val="single" w:sz="6" w:space="0" w:color="auto"/>
              <w:left w:val="single" w:sz="6" w:space="0" w:color="auto"/>
              <w:bottom w:val="single" w:sz="6" w:space="0" w:color="auto"/>
              <w:right w:val="single" w:sz="6" w:space="0" w:color="auto"/>
            </w:tcBorders>
            <w:vAlign w:val="bottom"/>
          </w:tcPr>
          <w:p w14:paraId="65B486CA" w14:textId="07DC3522"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(n)</w:t>
            </w:r>
          </w:p>
        </w:tc>
        <w:tc>
          <w:tcPr>
            <w:tcW w:w="1323" w:type="dxa"/>
            <w:tcBorders>
              <w:top w:val="single" w:sz="6" w:space="0" w:color="auto"/>
              <w:left w:val="single" w:sz="6" w:space="0" w:color="auto"/>
              <w:bottom w:val="single" w:sz="6" w:space="0" w:color="auto"/>
              <w:right w:val="single" w:sz="6" w:space="0" w:color="auto"/>
            </w:tcBorders>
            <w:vAlign w:val="bottom"/>
          </w:tcPr>
          <w:p w14:paraId="59A3E6FF" w14:textId="5D84416E"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w:t>
            </w:r>
          </w:p>
        </w:tc>
        <w:tc>
          <w:tcPr>
            <w:tcW w:w="1323" w:type="dxa"/>
            <w:tcBorders>
              <w:top w:val="single" w:sz="6" w:space="0" w:color="auto"/>
              <w:left w:val="single" w:sz="6" w:space="0" w:color="auto"/>
              <w:bottom w:val="single" w:sz="6" w:space="0" w:color="auto"/>
              <w:right w:val="single" w:sz="6" w:space="0" w:color="auto"/>
            </w:tcBorders>
            <w:vAlign w:val="bottom"/>
          </w:tcPr>
          <w:p w14:paraId="7FE1A8E3" w14:textId="609E64A0"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(n)</w:t>
            </w:r>
          </w:p>
        </w:tc>
        <w:tc>
          <w:tcPr>
            <w:tcW w:w="1323" w:type="dxa"/>
            <w:tcBorders>
              <w:top w:val="single" w:sz="6" w:space="0" w:color="auto"/>
              <w:left w:val="single" w:sz="6" w:space="0" w:color="auto"/>
              <w:bottom w:val="single" w:sz="6" w:space="0" w:color="auto"/>
              <w:right w:val="single" w:sz="6" w:space="0" w:color="auto"/>
            </w:tcBorders>
            <w:vAlign w:val="bottom"/>
          </w:tcPr>
          <w:p w14:paraId="0F190E05" w14:textId="57A4B9EF" w:rsidR="00132CF4" w:rsidRPr="00392E0D" w:rsidRDefault="00ED2465"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w:t>
            </w:r>
          </w:p>
        </w:tc>
        <w:tc>
          <w:tcPr>
            <w:tcW w:w="1324" w:type="dxa"/>
            <w:tcBorders>
              <w:top w:val="single" w:sz="6" w:space="0" w:color="auto"/>
              <w:left w:val="single" w:sz="6" w:space="0" w:color="auto"/>
              <w:bottom w:val="single" w:sz="6" w:space="0" w:color="auto"/>
              <w:right w:val="single" w:sz="6" w:space="0" w:color="auto"/>
            </w:tcBorders>
            <w:vAlign w:val="bottom"/>
          </w:tcPr>
          <w:p w14:paraId="4F3B8B8A" w14:textId="73C09FDD" w:rsidR="00132CF4" w:rsidRPr="00392E0D" w:rsidRDefault="009B7612" w:rsidP="00253273">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132CF4" w:rsidRPr="00392E0D" w14:paraId="61537CB0"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5225207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23" w:type="dxa"/>
            <w:tcBorders>
              <w:top w:val="single" w:sz="6" w:space="0" w:color="auto"/>
              <w:left w:val="single" w:sz="6" w:space="0" w:color="auto"/>
              <w:bottom w:val="single" w:sz="6" w:space="0" w:color="auto"/>
              <w:right w:val="single" w:sz="6" w:space="0" w:color="auto"/>
            </w:tcBorders>
          </w:tcPr>
          <w:p w14:paraId="755BE82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13,870</w:t>
            </w:r>
          </w:p>
        </w:tc>
        <w:tc>
          <w:tcPr>
            <w:tcW w:w="1323" w:type="dxa"/>
            <w:tcBorders>
              <w:top w:val="single" w:sz="6" w:space="0" w:color="auto"/>
              <w:left w:val="single" w:sz="6" w:space="0" w:color="auto"/>
              <w:bottom w:val="single" w:sz="6" w:space="0" w:color="auto"/>
              <w:right w:val="single" w:sz="6" w:space="0" w:color="auto"/>
            </w:tcBorders>
          </w:tcPr>
          <w:p w14:paraId="61E5CEF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73.2</w:t>
            </w:r>
          </w:p>
        </w:tc>
        <w:tc>
          <w:tcPr>
            <w:tcW w:w="1323" w:type="dxa"/>
            <w:tcBorders>
              <w:top w:val="single" w:sz="6" w:space="0" w:color="auto"/>
              <w:left w:val="single" w:sz="6" w:space="0" w:color="auto"/>
              <w:bottom w:val="single" w:sz="6" w:space="0" w:color="auto"/>
              <w:right w:val="single" w:sz="6" w:space="0" w:color="auto"/>
            </w:tcBorders>
          </w:tcPr>
          <w:p w14:paraId="4842FAB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2,952</w:t>
            </w:r>
          </w:p>
        </w:tc>
        <w:tc>
          <w:tcPr>
            <w:tcW w:w="1323" w:type="dxa"/>
            <w:tcBorders>
              <w:top w:val="single" w:sz="6" w:space="0" w:color="auto"/>
              <w:left w:val="single" w:sz="6" w:space="0" w:color="auto"/>
              <w:bottom w:val="single" w:sz="6" w:space="0" w:color="auto"/>
              <w:right w:val="single" w:sz="6" w:space="0" w:color="auto"/>
            </w:tcBorders>
          </w:tcPr>
          <w:p w14:paraId="4C98C51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323" w:type="dxa"/>
            <w:tcBorders>
              <w:top w:val="single" w:sz="6" w:space="0" w:color="auto"/>
              <w:left w:val="single" w:sz="6" w:space="0" w:color="auto"/>
              <w:bottom w:val="single" w:sz="6" w:space="0" w:color="auto"/>
              <w:right w:val="single" w:sz="6" w:space="0" w:color="auto"/>
            </w:tcBorders>
          </w:tcPr>
          <w:p w14:paraId="1BCD432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2,125</w:t>
            </w:r>
          </w:p>
        </w:tc>
        <w:tc>
          <w:tcPr>
            <w:tcW w:w="1323" w:type="dxa"/>
            <w:tcBorders>
              <w:top w:val="single" w:sz="6" w:space="0" w:color="auto"/>
              <w:left w:val="single" w:sz="6" w:space="0" w:color="auto"/>
              <w:bottom w:val="single" w:sz="6" w:space="0" w:color="auto"/>
              <w:right w:val="single" w:sz="6" w:space="0" w:color="auto"/>
            </w:tcBorders>
          </w:tcPr>
          <w:p w14:paraId="2C95A2B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11.2</w:t>
            </w:r>
          </w:p>
        </w:tc>
        <w:tc>
          <w:tcPr>
            <w:tcW w:w="1324" w:type="dxa"/>
            <w:tcBorders>
              <w:top w:val="single" w:sz="6" w:space="0" w:color="auto"/>
              <w:left w:val="single" w:sz="6" w:space="0" w:color="auto"/>
              <w:bottom w:val="single" w:sz="6" w:space="0" w:color="auto"/>
              <w:right w:val="single" w:sz="6" w:space="0" w:color="auto"/>
            </w:tcBorders>
          </w:tcPr>
          <w:p w14:paraId="0390B3E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18,947</w:t>
            </w:r>
          </w:p>
        </w:tc>
      </w:tr>
      <w:tr w:rsidR="00132CF4" w:rsidRPr="00392E0D" w14:paraId="1C8DA0D9"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5AE353D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23" w:type="dxa"/>
            <w:tcBorders>
              <w:top w:val="single" w:sz="6" w:space="0" w:color="auto"/>
              <w:left w:val="single" w:sz="6" w:space="0" w:color="auto"/>
              <w:bottom w:val="single" w:sz="6" w:space="0" w:color="auto"/>
              <w:right w:val="single" w:sz="6" w:space="0" w:color="auto"/>
            </w:tcBorders>
          </w:tcPr>
          <w:p w14:paraId="5E151CA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13,947</w:t>
            </w:r>
          </w:p>
        </w:tc>
        <w:tc>
          <w:tcPr>
            <w:tcW w:w="1323" w:type="dxa"/>
            <w:tcBorders>
              <w:top w:val="single" w:sz="6" w:space="0" w:color="auto"/>
              <w:left w:val="single" w:sz="6" w:space="0" w:color="auto"/>
              <w:bottom w:val="single" w:sz="6" w:space="0" w:color="auto"/>
              <w:right w:val="single" w:sz="6" w:space="0" w:color="auto"/>
            </w:tcBorders>
          </w:tcPr>
          <w:p w14:paraId="6AF9049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72.7</w:t>
            </w:r>
          </w:p>
        </w:tc>
        <w:tc>
          <w:tcPr>
            <w:tcW w:w="1323" w:type="dxa"/>
            <w:tcBorders>
              <w:top w:val="single" w:sz="6" w:space="0" w:color="auto"/>
              <w:left w:val="single" w:sz="6" w:space="0" w:color="auto"/>
              <w:bottom w:val="single" w:sz="6" w:space="0" w:color="auto"/>
              <w:right w:val="single" w:sz="6" w:space="0" w:color="auto"/>
            </w:tcBorders>
          </w:tcPr>
          <w:p w14:paraId="6E30F69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3,034</w:t>
            </w:r>
          </w:p>
        </w:tc>
        <w:tc>
          <w:tcPr>
            <w:tcW w:w="1323" w:type="dxa"/>
            <w:tcBorders>
              <w:top w:val="single" w:sz="6" w:space="0" w:color="auto"/>
              <w:left w:val="single" w:sz="6" w:space="0" w:color="auto"/>
              <w:bottom w:val="single" w:sz="6" w:space="0" w:color="auto"/>
              <w:right w:val="single" w:sz="6" w:space="0" w:color="auto"/>
            </w:tcBorders>
          </w:tcPr>
          <w:p w14:paraId="6771808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w:t>
            </w:r>
          </w:p>
        </w:tc>
        <w:tc>
          <w:tcPr>
            <w:tcW w:w="1323" w:type="dxa"/>
            <w:tcBorders>
              <w:top w:val="single" w:sz="6" w:space="0" w:color="auto"/>
              <w:left w:val="single" w:sz="6" w:space="0" w:color="auto"/>
              <w:bottom w:val="single" w:sz="6" w:space="0" w:color="auto"/>
              <w:right w:val="single" w:sz="6" w:space="0" w:color="auto"/>
            </w:tcBorders>
          </w:tcPr>
          <w:p w14:paraId="085CD4B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2,200</w:t>
            </w:r>
          </w:p>
        </w:tc>
        <w:tc>
          <w:tcPr>
            <w:tcW w:w="1323" w:type="dxa"/>
            <w:tcBorders>
              <w:top w:val="single" w:sz="6" w:space="0" w:color="auto"/>
              <w:left w:val="single" w:sz="6" w:space="0" w:color="auto"/>
              <w:bottom w:val="single" w:sz="6" w:space="0" w:color="auto"/>
              <w:right w:val="single" w:sz="6" w:space="0" w:color="auto"/>
            </w:tcBorders>
          </w:tcPr>
          <w:p w14:paraId="6C59859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11.5</w:t>
            </w:r>
          </w:p>
        </w:tc>
        <w:tc>
          <w:tcPr>
            <w:tcW w:w="1324" w:type="dxa"/>
            <w:tcBorders>
              <w:top w:val="single" w:sz="6" w:space="0" w:color="auto"/>
              <w:left w:val="single" w:sz="6" w:space="0" w:color="auto"/>
              <w:bottom w:val="single" w:sz="6" w:space="0" w:color="auto"/>
              <w:right w:val="single" w:sz="6" w:space="0" w:color="auto"/>
            </w:tcBorders>
          </w:tcPr>
          <w:p w14:paraId="4166B72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19,181</w:t>
            </w:r>
          </w:p>
        </w:tc>
      </w:tr>
      <w:tr w:rsidR="00132CF4" w:rsidRPr="00392E0D" w14:paraId="5DFE28CA"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00606F7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23" w:type="dxa"/>
            <w:tcBorders>
              <w:top w:val="single" w:sz="6" w:space="0" w:color="auto"/>
              <w:left w:val="single" w:sz="6" w:space="0" w:color="auto"/>
              <w:bottom w:val="single" w:sz="6" w:space="0" w:color="auto"/>
              <w:right w:val="single" w:sz="6" w:space="0" w:color="auto"/>
            </w:tcBorders>
          </w:tcPr>
          <w:p w14:paraId="0EA0D86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13,490</w:t>
            </w:r>
          </w:p>
        </w:tc>
        <w:tc>
          <w:tcPr>
            <w:tcW w:w="1323" w:type="dxa"/>
            <w:tcBorders>
              <w:top w:val="single" w:sz="6" w:space="0" w:color="auto"/>
              <w:left w:val="single" w:sz="6" w:space="0" w:color="auto"/>
              <w:bottom w:val="single" w:sz="6" w:space="0" w:color="auto"/>
              <w:right w:val="single" w:sz="6" w:space="0" w:color="auto"/>
            </w:tcBorders>
          </w:tcPr>
          <w:p w14:paraId="4B9B061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72.8</w:t>
            </w:r>
          </w:p>
        </w:tc>
        <w:tc>
          <w:tcPr>
            <w:tcW w:w="1323" w:type="dxa"/>
            <w:tcBorders>
              <w:top w:val="single" w:sz="6" w:space="0" w:color="auto"/>
              <w:left w:val="single" w:sz="6" w:space="0" w:color="auto"/>
              <w:bottom w:val="single" w:sz="6" w:space="0" w:color="auto"/>
              <w:right w:val="single" w:sz="6" w:space="0" w:color="auto"/>
            </w:tcBorders>
          </w:tcPr>
          <w:p w14:paraId="15468A2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3,034</w:t>
            </w:r>
          </w:p>
        </w:tc>
        <w:tc>
          <w:tcPr>
            <w:tcW w:w="1323" w:type="dxa"/>
            <w:tcBorders>
              <w:top w:val="single" w:sz="6" w:space="0" w:color="auto"/>
              <w:left w:val="single" w:sz="6" w:space="0" w:color="auto"/>
              <w:bottom w:val="single" w:sz="6" w:space="0" w:color="auto"/>
              <w:right w:val="single" w:sz="6" w:space="0" w:color="auto"/>
            </w:tcBorders>
          </w:tcPr>
          <w:p w14:paraId="4E2F546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16.4</w:t>
            </w:r>
          </w:p>
        </w:tc>
        <w:tc>
          <w:tcPr>
            <w:tcW w:w="1323" w:type="dxa"/>
            <w:tcBorders>
              <w:top w:val="single" w:sz="6" w:space="0" w:color="auto"/>
              <w:left w:val="single" w:sz="6" w:space="0" w:color="auto"/>
              <w:bottom w:val="single" w:sz="6" w:space="0" w:color="auto"/>
              <w:right w:val="single" w:sz="6" w:space="0" w:color="auto"/>
            </w:tcBorders>
          </w:tcPr>
          <w:p w14:paraId="08C704B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2,004</w:t>
            </w:r>
          </w:p>
        </w:tc>
        <w:tc>
          <w:tcPr>
            <w:tcW w:w="1323" w:type="dxa"/>
            <w:tcBorders>
              <w:top w:val="single" w:sz="6" w:space="0" w:color="auto"/>
              <w:left w:val="single" w:sz="6" w:space="0" w:color="auto"/>
              <w:bottom w:val="single" w:sz="6" w:space="0" w:color="auto"/>
              <w:right w:val="single" w:sz="6" w:space="0" w:color="auto"/>
            </w:tcBorders>
          </w:tcPr>
          <w:p w14:paraId="560D750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1324" w:type="dxa"/>
            <w:tcBorders>
              <w:top w:val="single" w:sz="6" w:space="0" w:color="auto"/>
              <w:left w:val="single" w:sz="6" w:space="0" w:color="auto"/>
              <w:bottom w:val="single" w:sz="6" w:space="0" w:color="auto"/>
              <w:right w:val="single" w:sz="6" w:space="0" w:color="auto"/>
            </w:tcBorders>
          </w:tcPr>
          <w:p w14:paraId="5D4FEB2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18,528</w:t>
            </w:r>
          </w:p>
        </w:tc>
      </w:tr>
      <w:tr w:rsidR="00132CF4" w:rsidRPr="00392E0D" w14:paraId="466C09FD"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7A6FA87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23" w:type="dxa"/>
            <w:tcBorders>
              <w:top w:val="single" w:sz="6" w:space="0" w:color="auto"/>
              <w:left w:val="single" w:sz="6" w:space="0" w:color="auto"/>
              <w:bottom w:val="single" w:sz="6" w:space="0" w:color="auto"/>
              <w:right w:val="single" w:sz="6" w:space="0" w:color="auto"/>
            </w:tcBorders>
          </w:tcPr>
          <w:p w14:paraId="289FE52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12,812</w:t>
            </w:r>
          </w:p>
        </w:tc>
        <w:tc>
          <w:tcPr>
            <w:tcW w:w="1323" w:type="dxa"/>
            <w:tcBorders>
              <w:top w:val="single" w:sz="6" w:space="0" w:color="auto"/>
              <w:left w:val="single" w:sz="6" w:space="0" w:color="auto"/>
              <w:bottom w:val="single" w:sz="6" w:space="0" w:color="auto"/>
              <w:right w:val="single" w:sz="6" w:space="0" w:color="auto"/>
            </w:tcBorders>
          </w:tcPr>
          <w:p w14:paraId="1927F5D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73.6</w:t>
            </w:r>
          </w:p>
        </w:tc>
        <w:tc>
          <w:tcPr>
            <w:tcW w:w="1323" w:type="dxa"/>
            <w:tcBorders>
              <w:top w:val="single" w:sz="6" w:space="0" w:color="auto"/>
              <w:left w:val="single" w:sz="6" w:space="0" w:color="auto"/>
              <w:bottom w:val="single" w:sz="6" w:space="0" w:color="auto"/>
              <w:right w:val="single" w:sz="6" w:space="0" w:color="auto"/>
            </w:tcBorders>
          </w:tcPr>
          <w:p w14:paraId="2D0F3B0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2,641</w:t>
            </w:r>
          </w:p>
        </w:tc>
        <w:tc>
          <w:tcPr>
            <w:tcW w:w="1323" w:type="dxa"/>
            <w:tcBorders>
              <w:top w:val="single" w:sz="6" w:space="0" w:color="auto"/>
              <w:left w:val="single" w:sz="6" w:space="0" w:color="auto"/>
              <w:bottom w:val="single" w:sz="6" w:space="0" w:color="auto"/>
              <w:right w:val="single" w:sz="6" w:space="0" w:color="auto"/>
            </w:tcBorders>
          </w:tcPr>
          <w:p w14:paraId="3C587A6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15.2</w:t>
            </w:r>
          </w:p>
        </w:tc>
        <w:tc>
          <w:tcPr>
            <w:tcW w:w="1323" w:type="dxa"/>
            <w:tcBorders>
              <w:top w:val="single" w:sz="6" w:space="0" w:color="auto"/>
              <w:left w:val="single" w:sz="6" w:space="0" w:color="auto"/>
              <w:bottom w:val="single" w:sz="6" w:space="0" w:color="auto"/>
              <w:right w:val="single" w:sz="6" w:space="0" w:color="auto"/>
            </w:tcBorders>
          </w:tcPr>
          <w:p w14:paraId="295C626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1,965</w:t>
            </w:r>
          </w:p>
        </w:tc>
        <w:tc>
          <w:tcPr>
            <w:tcW w:w="1323" w:type="dxa"/>
            <w:tcBorders>
              <w:top w:val="single" w:sz="6" w:space="0" w:color="auto"/>
              <w:left w:val="single" w:sz="6" w:space="0" w:color="auto"/>
              <w:bottom w:val="single" w:sz="6" w:space="0" w:color="auto"/>
              <w:right w:val="single" w:sz="6" w:space="0" w:color="auto"/>
            </w:tcBorders>
          </w:tcPr>
          <w:p w14:paraId="583746C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11.3</w:t>
            </w:r>
          </w:p>
        </w:tc>
        <w:tc>
          <w:tcPr>
            <w:tcW w:w="1324" w:type="dxa"/>
            <w:tcBorders>
              <w:top w:val="single" w:sz="6" w:space="0" w:color="auto"/>
              <w:left w:val="single" w:sz="6" w:space="0" w:color="auto"/>
              <w:bottom w:val="single" w:sz="6" w:space="0" w:color="auto"/>
              <w:right w:val="single" w:sz="6" w:space="0" w:color="auto"/>
            </w:tcBorders>
          </w:tcPr>
          <w:p w14:paraId="5BA43AA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17,418</w:t>
            </w:r>
          </w:p>
        </w:tc>
      </w:tr>
      <w:tr w:rsidR="00132CF4" w:rsidRPr="00392E0D" w14:paraId="47F3336F" w14:textId="77777777" w:rsidTr="00207FDA">
        <w:trPr>
          <w:trHeight w:val="287"/>
        </w:trPr>
        <w:tc>
          <w:tcPr>
            <w:tcW w:w="974" w:type="dxa"/>
            <w:tcBorders>
              <w:top w:val="single" w:sz="6" w:space="0" w:color="auto"/>
              <w:left w:val="single" w:sz="6" w:space="0" w:color="auto"/>
              <w:bottom w:val="single" w:sz="6" w:space="0" w:color="auto"/>
              <w:right w:val="single" w:sz="6" w:space="0" w:color="auto"/>
            </w:tcBorders>
          </w:tcPr>
          <w:p w14:paraId="39C8148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23" w:type="dxa"/>
            <w:tcBorders>
              <w:top w:val="single" w:sz="6" w:space="0" w:color="auto"/>
              <w:left w:val="single" w:sz="6" w:space="0" w:color="auto"/>
              <w:bottom w:val="single" w:sz="6" w:space="0" w:color="auto"/>
              <w:right w:val="single" w:sz="6" w:space="0" w:color="auto"/>
            </w:tcBorders>
          </w:tcPr>
          <w:p w14:paraId="4BC7CB1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11,093</w:t>
            </w:r>
          </w:p>
        </w:tc>
        <w:tc>
          <w:tcPr>
            <w:tcW w:w="1323" w:type="dxa"/>
            <w:tcBorders>
              <w:top w:val="single" w:sz="6" w:space="0" w:color="auto"/>
              <w:left w:val="single" w:sz="6" w:space="0" w:color="auto"/>
              <w:bottom w:val="single" w:sz="6" w:space="0" w:color="auto"/>
              <w:right w:val="single" w:sz="6" w:space="0" w:color="auto"/>
            </w:tcBorders>
          </w:tcPr>
          <w:p w14:paraId="4AC81C7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73.7</w:t>
            </w:r>
          </w:p>
        </w:tc>
        <w:tc>
          <w:tcPr>
            <w:tcW w:w="1323" w:type="dxa"/>
            <w:tcBorders>
              <w:top w:val="single" w:sz="6" w:space="0" w:color="auto"/>
              <w:left w:val="single" w:sz="6" w:space="0" w:color="auto"/>
              <w:bottom w:val="single" w:sz="6" w:space="0" w:color="auto"/>
              <w:right w:val="single" w:sz="6" w:space="0" w:color="auto"/>
            </w:tcBorders>
          </w:tcPr>
          <w:p w14:paraId="79F8972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2,448</w:t>
            </w:r>
          </w:p>
        </w:tc>
        <w:tc>
          <w:tcPr>
            <w:tcW w:w="1323" w:type="dxa"/>
            <w:tcBorders>
              <w:top w:val="single" w:sz="6" w:space="0" w:color="auto"/>
              <w:left w:val="single" w:sz="6" w:space="0" w:color="auto"/>
              <w:bottom w:val="single" w:sz="6" w:space="0" w:color="auto"/>
              <w:right w:val="single" w:sz="6" w:space="0" w:color="auto"/>
            </w:tcBorders>
          </w:tcPr>
          <w:p w14:paraId="50CCC86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16.3</w:t>
            </w:r>
          </w:p>
        </w:tc>
        <w:tc>
          <w:tcPr>
            <w:tcW w:w="1323" w:type="dxa"/>
            <w:tcBorders>
              <w:top w:val="single" w:sz="6" w:space="0" w:color="auto"/>
              <w:left w:val="single" w:sz="6" w:space="0" w:color="auto"/>
              <w:bottom w:val="single" w:sz="6" w:space="0" w:color="auto"/>
              <w:right w:val="single" w:sz="6" w:space="0" w:color="auto"/>
            </w:tcBorders>
          </w:tcPr>
          <w:p w14:paraId="5B30171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1,518</w:t>
            </w:r>
          </w:p>
        </w:tc>
        <w:tc>
          <w:tcPr>
            <w:tcW w:w="1323" w:type="dxa"/>
            <w:tcBorders>
              <w:top w:val="single" w:sz="6" w:space="0" w:color="auto"/>
              <w:left w:val="single" w:sz="6" w:space="0" w:color="auto"/>
              <w:bottom w:val="single" w:sz="6" w:space="0" w:color="auto"/>
              <w:right w:val="single" w:sz="6" w:space="0" w:color="auto"/>
            </w:tcBorders>
          </w:tcPr>
          <w:p w14:paraId="5EF1BB3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324" w:type="dxa"/>
            <w:tcBorders>
              <w:top w:val="single" w:sz="6" w:space="0" w:color="auto"/>
              <w:left w:val="single" w:sz="6" w:space="0" w:color="auto"/>
              <w:bottom w:val="single" w:sz="6" w:space="0" w:color="auto"/>
              <w:right w:val="single" w:sz="6" w:space="0" w:color="auto"/>
            </w:tcBorders>
          </w:tcPr>
          <w:p w14:paraId="7AA9321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15,059</w:t>
            </w:r>
          </w:p>
        </w:tc>
      </w:tr>
    </w:tbl>
    <w:p w14:paraId="3C124786" w14:textId="7F8E73D2" w:rsidR="00132CF4" w:rsidRPr="00392E0D" w:rsidRDefault="00132CF4" w:rsidP="00132CF4">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77</w:t>
      </w:r>
      <w:r w:rsidRPr="00392E0D">
        <w:rPr>
          <w:rFonts w:cs="Arial"/>
        </w:rPr>
        <w:fldChar w:fldCharType="end"/>
      </w:r>
      <w:r w:rsidRPr="00392E0D">
        <w:rPr>
          <w:rFonts w:cs="Arial"/>
        </w:rPr>
        <w:tab/>
      </w:r>
      <w:r w:rsidRPr="00392E0D">
        <w:rPr>
          <w:rFonts w:eastAsiaTheme="minorHAnsi" w:cs="Arial"/>
          <w:lang w:val="en-AU"/>
        </w:rPr>
        <w:t>South Australia trends (2009 – 2021) – Emotional Maturity domain</w:t>
      </w:r>
    </w:p>
    <w:tbl>
      <w:tblPr>
        <w:tblW w:w="10206" w:type="dxa"/>
        <w:tblInd w:w="-8" w:type="dxa"/>
        <w:tblLayout w:type="fixed"/>
        <w:tblLook w:val="0000" w:firstRow="0" w:lastRow="0" w:firstColumn="0" w:lastColumn="0" w:noHBand="0" w:noVBand="0"/>
      </w:tblPr>
      <w:tblGrid>
        <w:gridCol w:w="943"/>
        <w:gridCol w:w="8"/>
        <w:gridCol w:w="1330"/>
        <w:gridCol w:w="1302"/>
        <w:gridCol w:w="6"/>
        <w:gridCol w:w="1324"/>
        <w:gridCol w:w="1323"/>
        <w:gridCol w:w="7"/>
        <w:gridCol w:w="1316"/>
        <w:gridCol w:w="1316"/>
        <w:gridCol w:w="1331"/>
      </w:tblGrid>
      <w:tr w:rsidR="00207FDA" w:rsidRPr="00392E0D" w14:paraId="2BA8AEB5" w14:textId="77777777" w:rsidTr="004347F2">
        <w:trPr>
          <w:trHeight w:val="845"/>
          <w:tblHeader/>
        </w:trPr>
        <w:tc>
          <w:tcPr>
            <w:tcW w:w="943" w:type="dxa"/>
            <w:tcBorders>
              <w:top w:val="single" w:sz="6" w:space="0" w:color="auto"/>
              <w:left w:val="single" w:sz="6" w:space="0" w:color="auto"/>
              <w:bottom w:val="single" w:sz="6" w:space="0" w:color="auto"/>
              <w:right w:val="single" w:sz="6" w:space="0" w:color="auto"/>
            </w:tcBorders>
            <w:vAlign w:val="bottom"/>
          </w:tcPr>
          <w:p w14:paraId="741B120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p>
        </w:tc>
        <w:tc>
          <w:tcPr>
            <w:tcW w:w="1338" w:type="dxa"/>
            <w:gridSpan w:val="2"/>
            <w:tcBorders>
              <w:top w:val="single" w:sz="6" w:space="0" w:color="auto"/>
              <w:left w:val="single" w:sz="6" w:space="0" w:color="auto"/>
              <w:bottom w:val="single" w:sz="6" w:space="0" w:color="auto"/>
              <w:right w:val="single" w:sz="6" w:space="0" w:color="auto"/>
            </w:tcBorders>
            <w:vAlign w:val="bottom"/>
          </w:tcPr>
          <w:p w14:paraId="4D8FC50D" w14:textId="2C86A590"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(n)</w:t>
            </w:r>
          </w:p>
        </w:tc>
        <w:tc>
          <w:tcPr>
            <w:tcW w:w="1308" w:type="dxa"/>
            <w:gridSpan w:val="2"/>
            <w:tcBorders>
              <w:top w:val="single" w:sz="6" w:space="0" w:color="auto"/>
              <w:left w:val="single" w:sz="6" w:space="0" w:color="auto"/>
              <w:bottom w:val="single" w:sz="6" w:space="0" w:color="auto"/>
              <w:right w:val="single" w:sz="6" w:space="0" w:color="auto"/>
            </w:tcBorders>
            <w:vAlign w:val="bottom"/>
          </w:tcPr>
          <w:p w14:paraId="1F875F36" w14:textId="0BB06A00"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w:t>
            </w:r>
          </w:p>
        </w:tc>
        <w:tc>
          <w:tcPr>
            <w:tcW w:w="1324" w:type="dxa"/>
            <w:tcBorders>
              <w:top w:val="single" w:sz="6" w:space="0" w:color="auto"/>
              <w:left w:val="single" w:sz="6" w:space="0" w:color="auto"/>
              <w:bottom w:val="single" w:sz="6" w:space="0" w:color="auto"/>
              <w:right w:val="single" w:sz="6" w:space="0" w:color="auto"/>
            </w:tcBorders>
            <w:vAlign w:val="bottom"/>
          </w:tcPr>
          <w:p w14:paraId="275C6C24" w14:textId="50EB73D2"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(n)</w:t>
            </w:r>
          </w:p>
        </w:tc>
        <w:tc>
          <w:tcPr>
            <w:tcW w:w="1323" w:type="dxa"/>
            <w:tcBorders>
              <w:top w:val="single" w:sz="6" w:space="0" w:color="auto"/>
              <w:left w:val="single" w:sz="6" w:space="0" w:color="auto"/>
              <w:bottom w:val="single" w:sz="6" w:space="0" w:color="auto"/>
              <w:right w:val="single" w:sz="6" w:space="0" w:color="auto"/>
            </w:tcBorders>
            <w:vAlign w:val="bottom"/>
          </w:tcPr>
          <w:p w14:paraId="1FAD6C89" w14:textId="3BA2700D"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w:t>
            </w:r>
          </w:p>
        </w:tc>
        <w:tc>
          <w:tcPr>
            <w:tcW w:w="1323" w:type="dxa"/>
            <w:gridSpan w:val="2"/>
            <w:tcBorders>
              <w:top w:val="single" w:sz="6" w:space="0" w:color="auto"/>
              <w:left w:val="single" w:sz="6" w:space="0" w:color="auto"/>
              <w:bottom w:val="single" w:sz="6" w:space="0" w:color="auto"/>
              <w:right w:val="single" w:sz="6" w:space="0" w:color="auto"/>
            </w:tcBorders>
            <w:vAlign w:val="bottom"/>
          </w:tcPr>
          <w:p w14:paraId="5B2973DF" w14:textId="727FE0E9"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(n)</w:t>
            </w:r>
          </w:p>
        </w:tc>
        <w:tc>
          <w:tcPr>
            <w:tcW w:w="1316" w:type="dxa"/>
            <w:tcBorders>
              <w:top w:val="single" w:sz="6" w:space="0" w:color="auto"/>
              <w:left w:val="single" w:sz="6" w:space="0" w:color="auto"/>
              <w:bottom w:val="single" w:sz="6" w:space="0" w:color="auto"/>
              <w:right w:val="single" w:sz="6" w:space="0" w:color="auto"/>
            </w:tcBorders>
            <w:vAlign w:val="bottom"/>
          </w:tcPr>
          <w:p w14:paraId="604F2360" w14:textId="05FE8542"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w:t>
            </w:r>
          </w:p>
        </w:tc>
        <w:tc>
          <w:tcPr>
            <w:tcW w:w="1331" w:type="dxa"/>
            <w:tcBorders>
              <w:top w:val="single" w:sz="6" w:space="0" w:color="auto"/>
              <w:left w:val="single" w:sz="6" w:space="0" w:color="auto"/>
              <w:bottom w:val="single" w:sz="6" w:space="0" w:color="auto"/>
              <w:right w:val="single" w:sz="6" w:space="0" w:color="auto"/>
            </w:tcBorders>
            <w:vAlign w:val="bottom"/>
          </w:tcPr>
          <w:p w14:paraId="570D1342" w14:textId="0C61853F" w:rsidR="00132CF4" w:rsidRPr="00392E0D" w:rsidRDefault="009B7612"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207FDA" w:rsidRPr="00392E0D" w14:paraId="4604DF4E" w14:textId="77777777" w:rsidTr="004347F2">
        <w:trPr>
          <w:trHeight w:val="287"/>
        </w:trPr>
        <w:tc>
          <w:tcPr>
            <w:tcW w:w="951" w:type="dxa"/>
            <w:gridSpan w:val="2"/>
            <w:tcBorders>
              <w:top w:val="single" w:sz="6" w:space="0" w:color="auto"/>
              <w:left w:val="single" w:sz="6" w:space="0" w:color="auto"/>
              <w:bottom w:val="single" w:sz="6" w:space="0" w:color="auto"/>
              <w:right w:val="single" w:sz="6" w:space="0" w:color="auto"/>
            </w:tcBorders>
          </w:tcPr>
          <w:p w14:paraId="0143268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30" w:type="dxa"/>
            <w:tcBorders>
              <w:top w:val="single" w:sz="6" w:space="0" w:color="auto"/>
              <w:left w:val="single" w:sz="6" w:space="0" w:color="auto"/>
              <w:bottom w:val="single" w:sz="6" w:space="0" w:color="auto"/>
              <w:right w:val="single" w:sz="6" w:space="0" w:color="auto"/>
            </w:tcBorders>
          </w:tcPr>
          <w:p w14:paraId="0829DB8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13,981</w:t>
            </w:r>
          </w:p>
        </w:tc>
        <w:tc>
          <w:tcPr>
            <w:tcW w:w="1302" w:type="dxa"/>
            <w:tcBorders>
              <w:top w:val="single" w:sz="6" w:space="0" w:color="auto"/>
              <w:left w:val="single" w:sz="6" w:space="0" w:color="auto"/>
              <w:bottom w:val="single" w:sz="6" w:space="0" w:color="auto"/>
              <w:right w:val="single" w:sz="6" w:space="0" w:color="auto"/>
            </w:tcBorders>
          </w:tcPr>
          <w:p w14:paraId="48D8167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74.0</w:t>
            </w:r>
          </w:p>
        </w:tc>
        <w:tc>
          <w:tcPr>
            <w:tcW w:w="1330" w:type="dxa"/>
            <w:gridSpan w:val="2"/>
            <w:tcBorders>
              <w:top w:val="single" w:sz="6" w:space="0" w:color="auto"/>
              <w:left w:val="single" w:sz="6" w:space="0" w:color="auto"/>
              <w:bottom w:val="single" w:sz="6" w:space="0" w:color="auto"/>
              <w:right w:val="single" w:sz="6" w:space="0" w:color="auto"/>
            </w:tcBorders>
          </w:tcPr>
          <w:p w14:paraId="24E20C8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2,954</w:t>
            </w:r>
          </w:p>
        </w:tc>
        <w:tc>
          <w:tcPr>
            <w:tcW w:w="1330" w:type="dxa"/>
            <w:gridSpan w:val="2"/>
            <w:tcBorders>
              <w:top w:val="single" w:sz="6" w:space="0" w:color="auto"/>
              <w:left w:val="single" w:sz="6" w:space="0" w:color="auto"/>
              <w:bottom w:val="single" w:sz="6" w:space="0" w:color="auto"/>
              <w:right w:val="single" w:sz="6" w:space="0" w:color="auto"/>
            </w:tcBorders>
          </w:tcPr>
          <w:p w14:paraId="0F07C25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316" w:type="dxa"/>
            <w:tcBorders>
              <w:top w:val="single" w:sz="6" w:space="0" w:color="auto"/>
              <w:left w:val="single" w:sz="6" w:space="0" w:color="auto"/>
              <w:bottom w:val="single" w:sz="6" w:space="0" w:color="auto"/>
              <w:right w:val="single" w:sz="6" w:space="0" w:color="auto"/>
            </w:tcBorders>
          </w:tcPr>
          <w:p w14:paraId="37B6F33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1,950</w:t>
            </w:r>
          </w:p>
        </w:tc>
        <w:tc>
          <w:tcPr>
            <w:tcW w:w="1316" w:type="dxa"/>
            <w:tcBorders>
              <w:top w:val="single" w:sz="6" w:space="0" w:color="auto"/>
              <w:left w:val="single" w:sz="6" w:space="0" w:color="auto"/>
              <w:bottom w:val="single" w:sz="6" w:space="0" w:color="auto"/>
              <w:right w:val="single" w:sz="6" w:space="0" w:color="auto"/>
            </w:tcBorders>
          </w:tcPr>
          <w:p w14:paraId="009CA77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10.3</w:t>
            </w:r>
          </w:p>
        </w:tc>
        <w:tc>
          <w:tcPr>
            <w:tcW w:w="1331" w:type="dxa"/>
            <w:tcBorders>
              <w:top w:val="single" w:sz="6" w:space="0" w:color="auto"/>
              <w:left w:val="single" w:sz="6" w:space="0" w:color="auto"/>
              <w:bottom w:val="single" w:sz="6" w:space="0" w:color="auto"/>
              <w:right w:val="single" w:sz="6" w:space="0" w:color="auto"/>
            </w:tcBorders>
          </w:tcPr>
          <w:p w14:paraId="14D18C6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18,885</w:t>
            </w:r>
          </w:p>
        </w:tc>
      </w:tr>
      <w:tr w:rsidR="00207FDA" w:rsidRPr="00392E0D" w14:paraId="5FB596C6" w14:textId="77777777" w:rsidTr="004347F2">
        <w:trPr>
          <w:trHeight w:val="287"/>
        </w:trPr>
        <w:tc>
          <w:tcPr>
            <w:tcW w:w="951" w:type="dxa"/>
            <w:gridSpan w:val="2"/>
            <w:tcBorders>
              <w:top w:val="single" w:sz="6" w:space="0" w:color="auto"/>
              <w:left w:val="single" w:sz="6" w:space="0" w:color="auto"/>
              <w:bottom w:val="single" w:sz="6" w:space="0" w:color="auto"/>
              <w:right w:val="single" w:sz="6" w:space="0" w:color="auto"/>
            </w:tcBorders>
          </w:tcPr>
          <w:p w14:paraId="43F7910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30" w:type="dxa"/>
            <w:tcBorders>
              <w:top w:val="single" w:sz="6" w:space="0" w:color="auto"/>
              <w:left w:val="single" w:sz="6" w:space="0" w:color="auto"/>
              <w:bottom w:val="single" w:sz="6" w:space="0" w:color="auto"/>
              <w:right w:val="single" w:sz="6" w:space="0" w:color="auto"/>
            </w:tcBorders>
          </w:tcPr>
          <w:p w14:paraId="0B83D26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13,966</w:t>
            </w:r>
          </w:p>
        </w:tc>
        <w:tc>
          <w:tcPr>
            <w:tcW w:w="1302" w:type="dxa"/>
            <w:tcBorders>
              <w:top w:val="single" w:sz="6" w:space="0" w:color="auto"/>
              <w:left w:val="single" w:sz="6" w:space="0" w:color="auto"/>
              <w:bottom w:val="single" w:sz="6" w:space="0" w:color="auto"/>
              <w:right w:val="single" w:sz="6" w:space="0" w:color="auto"/>
            </w:tcBorders>
          </w:tcPr>
          <w:p w14:paraId="5B2B5B8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73.1</w:t>
            </w:r>
          </w:p>
        </w:tc>
        <w:tc>
          <w:tcPr>
            <w:tcW w:w="1330" w:type="dxa"/>
            <w:gridSpan w:val="2"/>
            <w:tcBorders>
              <w:top w:val="single" w:sz="6" w:space="0" w:color="auto"/>
              <w:left w:val="single" w:sz="6" w:space="0" w:color="auto"/>
              <w:bottom w:val="single" w:sz="6" w:space="0" w:color="auto"/>
              <w:right w:val="single" w:sz="6" w:space="0" w:color="auto"/>
            </w:tcBorders>
          </w:tcPr>
          <w:p w14:paraId="29627CD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3,084</w:t>
            </w:r>
          </w:p>
        </w:tc>
        <w:tc>
          <w:tcPr>
            <w:tcW w:w="1330" w:type="dxa"/>
            <w:gridSpan w:val="2"/>
            <w:tcBorders>
              <w:top w:val="single" w:sz="6" w:space="0" w:color="auto"/>
              <w:left w:val="single" w:sz="6" w:space="0" w:color="auto"/>
              <w:bottom w:val="single" w:sz="6" w:space="0" w:color="auto"/>
              <w:right w:val="single" w:sz="6" w:space="0" w:color="auto"/>
            </w:tcBorders>
          </w:tcPr>
          <w:p w14:paraId="425D270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16.1</w:t>
            </w:r>
          </w:p>
        </w:tc>
        <w:tc>
          <w:tcPr>
            <w:tcW w:w="1316" w:type="dxa"/>
            <w:tcBorders>
              <w:top w:val="single" w:sz="6" w:space="0" w:color="auto"/>
              <w:left w:val="single" w:sz="6" w:space="0" w:color="auto"/>
              <w:bottom w:val="single" w:sz="6" w:space="0" w:color="auto"/>
              <w:right w:val="single" w:sz="6" w:space="0" w:color="auto"/>
            </w:tcBorders>
          </w:tcPr>
          <w:p w14:paraId="0AAF950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2,064</w:t>
            </w:r>
          </w:p>
        </w:tc>
        <w:tc>
          <w:tcPr>
            <w:tcW w:w="1316" w:type="dxa"/>
            <w:tcBorders>
              <w:top w:val="single" w:sz="6" w:space="0" w:color="auto"/>
              <w:left w:val="single" w:sz="6" w:space="0" w:color="auto"/>
              <w:bottom w:val="single" w:sz="6" w:space="0" w:color="auto"/>
              <w:right w:val="single" w:sz="6" w:space="0" w:color="auto"/>
            </w:tcBorders>
          </w:tcPr>
          <w:p w14:paraId="0CF52B0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1331" w:type="dxa"/>
            <w:tcBorders>
              <w:top w:val="single" w:sz="6" w:space="0" w:color="auto"/>
              <w:left w:val="single" w:sz="6" w:space="0" w:color="auto"/>
              <w:bottom w:val="single" w:sz="6" w:space="0" w:color="auto"/>
              <w:right w:val="single" w:sz="6" w:space="0" w:color="auto"/>
            </w:tcBorders>
          </w:tcPr>
          <w:p w14:paraId="34814EB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19,114</w:t>
            </w:r>
          </w:p>
        </w:tc>
      </w:tr>
      <w:tr w:rsidR="00207FDA" w:rsidRPr="00392E0D" w14:paraId="065FA76E" w14:textId="77777777" w:rsidTr="004347F2">
        <w:trPr>
          <w:trHeight w:val="287"/>
        </w:trPr>
        <w:tc>
          <w:tcPr>
            <w:tcW w:w="951" w:type="dxa"/>
            <w:gridSpan w:val="2"/>
            <w:tcBorders>
              <w:top w:val="single" w:sz="6" w:space="0" w:color="auto"/>
              <w:left w:val="single" w:sz="6" w:space="0" w:color="auto"/>
              <w:bottom w:val="single" w:sz="6" w:space="0" w:color="auto"/>
              <w:right w:val="single" w:sz="6" w:space="0" w:color="auto"/>
            </w:tcBorders>
          </w:tcPr>
          <w:p w14:paraId="5466110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30" w:type="dxa"/>
            <w:tcBorders>
              <w:top w:val="single" w:sz="6" w:space="0" w:color="auto"/>
              <w:left w:val="single" w:sz="6" w:space="0" w:color="auto"/>
              <w:bottom w:val="single" w:sz="6" w:space="0" w:color="auto"/>
              <w:right w:val="single" w:sz="6" w:space="0" w:color="auto"/>
            </w:tcBorders>
          </w:tcPr>
          <w:p w14:paraId="6AA8375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13,461</w:t>
            </w:r>
          </w:p>
        </w:tc>
        <w:tc>
          <w:tcPr>
            <w:tcW w:w="1302" w:type="dxa"/>
            <w:tcBorders>
              <w:top w:val="single" w:sz="6" w:space="0" w:color="auto"/>
              <w:left w:val="single" w:sz="6" w:space="0" w:color="auto"/>
              <w:bottom w:val="single" w:sz="6" w:space="0" w:color="auto"/>
              <w:right w:val="single" w:sz="6" w:space="0" w:color="auto"/>
            </w:tcBorders>
          </w:tcPr>
          <w:p w14:paraId="52602A3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72.9</w:t>
            </w:r>
          </w:p>
        </w:tc>
        <w:tc>
          <w:tcPr>
            <w:tcW w:w="1330" w:type="dxa"/>
            <w:gridSpan w:val="2"/>
            <w:tcBorders>
              <w:top w:val="single" w:sz="6" w:space="0" w:color="auto"/>
              <w:left w:val="single" w:sz="6" w:space="0" w:color="auto"/>
              <w:bottom w:val="single" w:sz="6" w:space="0" w:color="auto"/>
              <w:right w:val="single" w:sz="6" w:space="0" w:color="auto"/>
            </w:tcBorders>
          </w:tcPr>
          <w:p w14:paraId="4E3FAA5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3,218</w:t>
            </w:r>
          </w:p>
        </w:tc>
        <w:tc>
          <w:tcPr>
            <w:tcW w:w="1330" w:type="dxa"/>
            <w:gridSpan w:val="2"/>
            <w:tcBorders>
              <w:top w:val="single" w:sz="6" w:space="0" w:color="auto"/>
              <w:left w:val="single" w:sz="6" w:space="0" w:color="auto"/>
              <w:bottom w:val="single" w:sz="6" w:space="0" w:color="auto"/>
              <w:right w:val="single" w:sz="6" w:space="0" w:color="auto"/>
            </w:tcBorders>
          </w:tcPr>
          <w:p w14:paraId="7B768DD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17.4</w:t>
            </w:r>
          </w:p>
        </w:tc>
        <w:tc>
          <w:tcPr>
            <w:tcW w:w="1316" w:type="dxa"/>
            <w:tcBorders>
              <w:top w:val="single" w:sz="6" w:space="0" w:color="auto"/>
              <w:left w:val="single" w:sz="6" w:space="0" w:color="auto"/>
              <w:bottom w:val="single" w:sz="6" w:space="0" w:color="auto"/>
              <w:right w:val="single" w:sz="6" w:space="0" w:color="auto"/>
            </w:tcBorders>
          </w:tcPr>
          <w:p w14:paraId="0E2C60D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1,793</w:t>
            </w:r>
          </w:p>
        </w:tc>
        <w:tc>
          <w:tcPr>
            <w:tcW w:w="1316" w:type="dxa"/>
            <w:tcBorders>
              <w:top w:val="single" w:sz="6" w:space="0" w:color="auto"/>
              <w:left w:val="single" w:sz="6" w:space="0" w:color="auto"/>
              <w:bottom w:val="single" w:sz="6" w:space="0" w:color="auto"/>
              <w:right w:val="single" w:sz="6" w:space="0" w:color="auto"/>
            </w:tcBorders>
          </w:tcPr>
          <w:p w14:paraId="578B51E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w:t>
            </w:r>
          </w:p>
        </w:tc>
        <w:tc>
          <w:tcPr>
            <w:tcW w:w="1331" w:type="dxa"/>
            <w:tcBorders>
              <w:top w:val="single" w:sz="6" w:space="0" w:color="auto"/>
              <w:left w:val="single" w:sz="6" w:space="0" w:color="auto"/>
              <w:bottom w:val="single" w:sz="6" w:space="0" w:color="auto"/>
              <w:right w:val="single" w:sz="6" w:space="0" w:color="auto"/>
            </w:tcBorders>
          </w:tcPr>
          <w:p w14:paraId="16D1B6D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18,472</w:t>
            </w:r>
          </w:p>
        </w:tc>
      </w:tr>
      <w:tr w:rsidR="00207FDA" w:rsidRPr="00392E0D" w14:paraId="59ED8645" w14:textId="77777777" w:rsidTr="004347F2">
        <w:trPr>
          <w:trHeight w:val="287"/>
        </w:trPr>
        <w:tc>
          <w:tcPr>
            <w:tcW w:w="951" w:type="dxa"/>
            <w:gridSpan w:val="2"/>
            <w:tcBorders>
              <w:top w:val="single" w:sz="6" w:space="0" w:color="auto"/>
              <w:left w:val="single" w:sz="6" w:space="0" w:color="auto"/>
              <w:bottom w:val="single" w:sz="6" w:space="0" w:color="auto"/>
              <w:right w:val="single" w:sz="6" w:space="0" w:color="auto"/>
            </w:tcBorders>
          </w:tcPr>
          <w:p w14:paraId="1EA6D43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30" w:type="dxa"/>
            <w:tcBorders>
              <w:top w:val="single" w:sz="6" w:space="0" w:color="auto"/>
              <w:left w:val="single" w:sz="6" w:space="0" w:color="auto"/>
              <w:bottom w:val="single" w:sz="6" w:space="0" w:color="auto"/>
              <w:right w:val="single" w:sz="6" w:space="0" w:color="auto"/>
            </w:tcBorders>
          </w:tcPr>
          <w:p w14:paraId="0128371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13,075</w:t>
            </w:r>
          </w:p>
        </w:tc>
        <w:tc>
          <w:tcPr>
            <w:tcW w:w="1302" w:type="dxa"/>
            <w:tcBorders>
              <w:top w:val="single" w:sz="6" w:space="0" w:color="auto"/>
              <w:left w:val="single" w:sz="6" w:space="0" w:color="auto"/>
              <w:bottom w:val="single" w:sz="6" w:space="0" w:color="auto"/>
              <w:right w:val="single" w:sz="6" w:space="0" w:color="auto"/>
            </w:tcBorders>
          </w:tcPr>
          <w:p w14:paraId="7ED669E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75.3</w:t>
            </w:r>
          </w:p>
        </w:tc>
        <w:tc>
          <w:tcPr>
            <w:tcW w:w="1330" w:type="dxa"/>
            <w:gridSpan w:val="2"/>
            <w:tcBorders>
              <w:top w:val="single" w:sz="6" w:space="0" w:color="auto"/>
              <w:left w:val="single" w:sz="6" w:space="0" w:color="auto"/>
              <w:bottom w:val="single" w:sz="6" w:space="0" w:color="auto"/>
              <w:right w:val="single" w:sz="6" w:space="0" w:color="auto"/>
            </w:tcBorders>
          </w:tcPr>
          <w:p w14:paraId="02A8FEF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2,685</w:t>
            </w:r>
          </w:p>
        </w:tc>
        <w:tc>
          <w:tcPr>
            <w:tcW w:w="1330" w:type="dxa"/>
            <w:gridSpan w:val="2"/>
            <w:tcBorders>
              <w:top w:val="single" w:sz="6" w:space="0" w:color="auto"/>
              <w:left w:val="single" w:sz="6" w:space="0" w:color="auto"/>
              <w:bottom w:val="single" w:sz="6" w:space="0" w:color="auto"/>
              <w:right w:val="single" w:sz="6" w:space="0" w:color="auto"/>
            </w:tcBorders>
          </w:tcPr>
          <w:p w14:paraId="2849EC2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w:t>
            </w:r>
          </w:p>
        </w:tc>
        <w:tc>
          <w:tcPr>
            <w:tcW w:w="1316" w:type="dxa"/>
            <w:tcBorders>
              <w:top w:val="single" w:sz="6" w:space="0" w:color="auto"/>
              <w:left w:val="single" w:sz="6" w:space="0" w:color="auto"/>
              <w:bottom w:val="single" w:sz="6" w:space="0" w:color="auto"/>
              <w:right w:val="single" w:sz="6" w:space="0" w:color="auto"/>
            </w:tcBorders>
          </w:tcPr>
          <w:p w14:paraId="36F4496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1,610</w:t>
            </w:r>
          </w:p>
        </w:tc>
        <w:tc>
          <w:tcPr>
            <w:tcW w:w="1316" w:type="dxa"/>
            <w:tcBorders>
              <w:top w:val="single" w:sz="6" w:space="0" w:color="auto"/>
              <w:left w:val="single" w:sz="6" w:space="0" w:color="auto"/>
              <w:bottom w:val="single" w:sz="6" w:space="0" w:color="auto"/>
              <w:right w:val="single" w:sz="6" w:space="0" w:color="auto"/>
            </w:tcBorders>
          </w:tcPr>
          <w:p w14:paraId="54B1446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w:t>
            </w:r>
          </w:p>
        </w:tc>
        <w:tc>
          <w:tcPr>
            <w:tcW w:w="1331" w:type="dxa"/>
            <w:tcBorders>
              <w:top w:val="single" w:sz="6" w:space="0" w:color="auto"/>
              <w:left w:val="single" w:sz="6" w:space="0" w:color="auto"/>
              <w:bottom w:val="single" w:sz="6" w:space="0" w:color="auto"/>
              <w:right w:val="single" w:sz="6" w:space="0" w:color="auto"/>
            </w:tcBorders>
          </w:tcPr>
          <w:p w14:paraId="2F9A9FB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17,370</w:t>
            </w:r>
          </w:p>
        </w:tc>
      </w:tr>
      <w:tr w:rsidR="00207FDA" w:rsidRPr="00392E0D" w14:paraId="163B963A" w14:textId="77777777" w:rsidTr="004347F2">
        <w:trPr>
          <w:trHeight w:val="287"/>
        </w:trPr>
        <w:tc>
          <w:tcPr>
            <w:tcW w:w="951" w:type="dxa"/>
            <w:gridSpan w:val="2"/>
            <w:tcBorders>
              <w:top w:val="single" w:sz="6" w:space="0" w:color="auto"/>
              <w:left w:val="single" w:sz="6" w:space="0" w:color="auto"/>
              <w:bottom w:val="single" w:sz="6" w:space="0" w:color="auto"/>
              <w:right w:val="single" w:sz="6" w:space="0" w:color="auto"/>
            </w:tcBorders>
          </w:tcPr>
          <w:p w14:paraId="0844E2A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30" w:type="dxa"/>
            <w:tcBorders>
              <w:top w:val="single" w:sz="6" w:space="0" w:color="auto"/>
              <w:left w:val="single" w:sz="6" w:space="0" w:color="auto"/>
              <w:bottom w:val="single" w:sz="6" w:space="0" w:color="auto"/>
              <w:right w:val="single" w:sz="6" w:space="0" w:color="auto"/>
            </w:tcBorders>
          </w:tcPr>
          <w:p w14:paraId="55B7F57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11,146</w:t>
            </w:r>
          </w:p>
        </w:tc>
        <w:tc>
          <w:tcPr>
            <w:tcW w:w="1302" w:type="dxa"/>
            <w:tcBorders>
              <w:top w:val="single" w:sz="6" w:space="0" w:color="auto"/>
              <w:left w:val="single" w:sz="6" w:space="0" w:color="auto"/>
              <w:bottom w:val="single" w:sz="6" w:space="0" w:color="auto"/>
              <w:right w:val="single" w:sz="6" w:space="0" w:color="auto"/>
            </w:tcBorders>
          </w:tcPr>
          <w:p w14:paraId="0D51879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74.4</w:t>
            </w:r>
          </w:p>
        </w:tc>
        <w:tc>
          <w:tcPr>
            <w:tcW w:w="1330" w:type="dxa"/>
            <w:gridSpan w:val="2"/>
            <w:tcBorders>
              <w:top w:val="single" w:sz="6" w:space="0" w:color="auto"/>
              <w:left w:val="single" w:sz="6" w:space="0" w:color="auto"/>
              <w:bottom w:val="single" w:sz="6" w:space="0" w:color="auto"/>
              <w:right w:val="single" w:sz="6" w:space="0" w:color="auto"/>
            </w:tcBorders>
          </w:tcPr>
          <w:p w14:paraId="0BCA804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2,301</w:t>
            </w:r>
          </w:p>
        </w:tc>
        <w:tc>
          <w:tcPr>
            <w:tcW w:w="1330" w:type="dxa"/>
            <w:gridSpan w:val="2"/>
            <w:tcBorders>
              <w:top w:val="single" w:sz="6" w:space="0" w:color="auto"/>
              <w:left w:val="single" w:sz="6" w:space="0" w:color="auto"/>
              <w:bottom w:val="single" w:sz="6" w:space="0" w:color="auto"/>
              <w:right w:val="single" w:sz="6" w:space="0" w:color="auto"/>
            </w:tcBorders>
          </w:tcPr>
          <w:p w14:paraId="72A7B28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w:t>
            </w:r>
          </w:p>
        </w:tc>
        <w:tc>
          <w:tcPr>
            <w:tcW w:w="1316" w:type="dxa"/>
            <w:tcBorders>
              <w:top w:val="single" w:sz="6" w:space="0" w:color="auto"/>
              <w:left w:val="single" w:sz="6" w:space="0" w:color="auto"/>
              <w:bottom w:val="single" w:sz="6" w:space="0" w:color="auto"/>
              <w:right w:val="single" w:sz="6" w:space="0" w:color="auto"/>
            </w:tcBorders>
          </w:tcPr>
          <w:p w14:paraId="2679C31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1,541</w:t>
            </w:r>
          </w:p>
        </w:tc>
        <w:tc>
          <w:tcPr>
            <w:tcW w:w="1316" w:type="dxa"/>
            <w:tcBorders>
              <w:top w:val="single" w:sz="6" w:space="0" w:color="auto"/>
              <w:left w:val="single" w:sz="6" w:space="0" w:color="auto"/>
              <w:bottom w:val="single" w:sz="6" w:space="0" w:color="auto"/>
              <w:right w:val="single" w:sz="6" w:space="0" w:color="auto"/>
            </w:tcBorders>
          </w:tcPr>
          <w:p w14:paraId="283ED4A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10.3</w:t>
            </w:r>
          </w:p>
        </w:tc>
        <w:tc>
          <w:tcPr>
            <w:tcW w:w="1331" w:type="dxa"/>
            <w:tcBorders>
              <w:top w:val="single" w:sz="6" w:space="0" w:color="auto"/>
              <w:left w:val="single" w:sz="6" w:space="0" w:color="auto"/>
              <w:bottom w:val="single" w:sz="6" w:space="0" w:color="auto"/>
              <w:right w:val="single" w:sz="6" w:space="0" w:color="auto"/>
            </w:tcBorders>
          </w:tcPr>
          <w:p w14:paraId="0D6FD49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14,988</w:t>
            </w:r>
          </w:p>
        </w:tc>
      </w:tr>
    </w:tbl>
    <w:p w14:paraId="153DA939" w14:textId="208B496A" w:rsidR="00132CF4" w:rsidRPr="00392E0D" w:rsidRDefault="00132CF4" w:rsidP="00132CF4">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78</w:t>
      </w:r>
      <w:r w:rsidRPr="00392E0D">
        <w:rPr>
          <w:rFonts w:cs="Arial"/>
        </w:rPr>
        <w:fldChar w:fldCharType="end"/>
      </w:r>
      <w:r w:rsidRPr="00392E0D">
        <w:rPr>
          <w:rFonts w:cs="Arial"/>
        </w:rPr>
        <w:tab/>
      </w:r>
      <w:r w:rsidRPr="00392E0D">
        <w:rPr>
          <w:rFonts w:eastAsiaTheme="minorHAnsi" w:cs="Arial"/>
          <w:lang w:val="en-AU"/>
        </w:rPr>
        <w:t>South Australia trends (2009 – 2021) – Language and cognitive skills (school-based) domain</w:t>
      </w:r>
    </w:p>
    <w:tbl>
      <w:tblPr>
        <w:tblW w:w="10236" w:type="dxa"/>
        <w:tblInd w:w="-38" w:type="dxa"/>
        <w:tblLayout w:type="fixed"/>
        <w:tblLook w:val="0000" w:firstRow="0" w:lastRow="0" w:firstColumn="0" w:lastColumn="0" w:noHBand="0" w:noVBand="0"/>
      </w:tblPr>
      <w:tblGrid>
        <w:gridCol w:w="974"/>
        <w:gridCol w:w="1323"/>
        <w:gridCol w:w="1323"/>
        <w:gridCol w:w="1323"/>
        <w:gridCol w:w="1323"/>
        <w:gridCol w:w="1323"/>
        <w:gridCol w:w="1323"/>
        <w:gridCol w:w="1324"/>
      </w:tblGrid>
      <w:tr w:rsidR="00132CF4" w:rsidRPr="00392E0D" w14:paraId="29A72EB2"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05AF4AD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p>
        </w:tc>
        <w:tc>
          <w:tcPr>
            <w:tcW w:w="1323" w:type="dxa"/>
            <w:tcBorders>
              <w:top w:val="single" w:sz="6" w:space="0" w:color="auto"/>
              <w:left w:val="single" w:sz="6" w:space="0" w:color="auto"/>
              <w:bottom w:val="single" w:sz="6" w:space="0" w:color="auto"/>
              <w:right w:val="single" w:sz="6" w:space="0" w:color="auto"/>
            </w:tcBorders>
            <w:vAlign w:val="bottom"/>
          </w:tcPr>
          <w:p w14:paraId="30D7A424" w14:textId="2306EFDC"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(n)</w:t>
            </w:r>
          </w:p>
        </w:tc>
        <w:tc>
          <w:tcPr>
            <w:tcW w:w="1323" w:type="dxa"/>
            <w:tcBorders>
              <w:top w:val="single" w:sz="6" w:space="0" w:color="auto"/>
              <w:left w:val="single" w:sz="6" w:space="0" w:color="auto"/>
              <w:bottom w:val="single" w:sz="6" w:space="0" w:color="auto"/>
              <w:right w:val="single" w:sz="6" w:space="0" w:color="auto"/>
            </w:tcBorders>
            <w:vAlign w:val="bottom"/>
          </w:tcPr>
          <w:p w14:paraId="5BC0BC7A" w14:textId="35A5D670"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w:t>
            </w:r>
          </w:p>
        </w:tc>
        <w:tc>
          <w:tcPr>
            <w:tcW w:w="1323" w:type="dxa"/>
            <w:tcBorders>
              <w:top w:val="single" w:sz="6" w:space="0" w:color="auto"/>
              <w:left w:val="single" w:sz="6" w:space="0" w:color="auto"/>
              <w:bottom w:val="single" w:sz="6" w:space="0" w:color="auto"/>
              <w:right w:val="single" w:sz="6" w:space="0" w:color="auto"/>
            </w:tcBorders>
            <w:vAlign w:val="bottom"/>
          </w:tcPr>
          <w:p w14:paraId="0C0B69C8" w14:textId="1257D5E6"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(n)</w:t>
            </w:r>
          </w:p>
        </w:tc>
        <w:tc>
          <w:tcPr>
            <w:tcW w:w="1323" w:type="dxa"/>
            <w:tcBorders>
              <w:top w:val="single" w:sz="6" w:space="0" w:color="auto"/>
              <w:left w:val="single" w:sz="6" w:space="0" w:color="auto"/>
              <w:bottom w:val="single" w:sz="6" w:space="0" w:color="auto"/>
              <w:right w:val="single" w:sz="6" w:space="0" w:color="auto"/>
            </w:tcBorders>
            <w:vAlign w:val="bottom"/>
          </w:tcPr>
          <w:p w14:paraId="2CE5C42C" w14:textId="295357D8"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w:t>
            </w:r>
          </w:p>
        </w:tc>
        <w:tc>
          <w:tcPr>
            <w:tcW w:w="1323" w:type="dxa"/>
            <w:tcBorders>
              <w:top w:val="single" w:sz="6" w:space="0" w:color="auto"/>
              <w:left w:val="single" w:sz="6" w:space="0" w:color="auto"/>
              <w:bottom w:val="single" w:sz="6" w:space="0" w:color="auto"/>
              <w:right w:val="single" w:sz="6" w:space="0" w:color="auto"/>
            </w:tcBorders>
            <w:vAlign w:val="bottom"/>
          </w:tcPr>
          <w:p w14:paraId="05A38D67" w14:textId="0E9DE7A2"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(n)</w:t>
            </w:r>
          </w:p>
        </w:tc>
        <w:tc>
          <w:tcPr>
            <w:tcW w:w="1323" w:type="dxa"/>
            <w:tcBorders>
              <w:top w:val="single" w:sz="6" w:space="0" w:color="auto"/>
              <w:left w:val="single" w:sz="6" w:space="0" w:color="auto"/>
              <w:bottom w:val="single" w:sz="6" w:space="0" w:color="auto"/>
              <w:right w:val="single" w:sz="6" w:space="0" w:color="auto"/>
            </w:tcBorders>
            <w:vAlign w:val="bottom"/>
          </w:tcPr>
          <w:p w14:paraId="6E744B7B" w14:textId="598BABCF"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w:t>
            </w:r>
          </w:p>
        </w:tc>
        <w:tc>
          <w:tcPr>
            <w:tcW w:w="1324" w:type="dxa"/>
            <w:tcBorders>
              <w:top w:val="single" w:sz="6" w:space="0" w:color="auto"/>
              <w:left w:val="single" w:sz="6" w:space="0" w:color="auto"/>
              <w:bottom w:val="single" w:sz="6" w:space="0" w:color="auto"/>
              <w:right w:val="single" w:sz="6" w:space="0" w:color="auto"/>
            </w:tcBorders>
            <w:vAlign w:val="bottom"/>
          </w:tcPr>
          <w:p w14:paraId="7E80AE2F" w14:textId="2EC19CA4" w:rsidR="00132CF4" w:rsidRPr="00392E0D" w:rsidRDefault="009B7612"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132CF4" w:rsidRPr="00392E0D" w14:paraId="44937C71"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0DB7329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23" w:type="dxa"/>
            <w:tcBorders>
              <w:top w:val="single" w:sz="6" w:space="0" w:color="auto"/>
              <w:left w:val="single" w:sz="6" w:space="0" w:color="auto"/>
              <w:bottom w:val="single" w:sz="6" w:space="0" w:color="auto"/>
              <w:right w:val="single" w:sz="6" w:space="0" w:color="auto"/>
            </w:tcBorders>
          </w:tcPr>
          <w:p w14:paraId="481D839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15,407</w:t>
            </w:r>
          </w:p>
        </w:tc>
        <w:tc>
          <w:tcPr>
            <w:tcW w:w="1323" w:type="dxa"/>
            <w:tcBorders>
              <w:top w:val="single" w:sz="6" w:space="0" w:color="auto"/>
              <w:left w:val="single" w:sz="6" w:space="0" w:color="auto"/>
              <w:bottom w:val="single" w:sz="6" w:space="0" w:color="auto"/>
              <w:right w:val="single" w:sz="6" w:space="0" w:color="auto"/>
            </w:tcBorders>
          </w:tcPr>
          <w:p w14:paraId="2F4EB19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81.6</w:t>
            </w:r>
          </w:p>
        </w:tc>
        <w:tc>
          <w:tcPr>
            <w:tcW w:w="1323" w:type="dxa"/>
            <w:tcBorders>
              <w:top w:val="single" w:sz="6" w:space="0" w:color="auto"/>
              <w:left w:val="single" w:sz="6" w:space="0" w:color="auto"/>
              <w:bottom w:val="single" w:sz="6" w:space="0" w:color="auto"/>
              <w:right w:val="single" w:sz="6" w:space="0" w:color="auto"/>
            </w:tcBorders>
          </w:tcPr>
          <w:p w14:paraId="78FFD75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1,989</w:t>
            </w:r>
          </w:p>
        </w:tc>
        <w:tc>
          <w:tcPr>
            <w:tcW w:w="1323" w:type="dxa"/>
            <w:tcBorders>
              <w:top w:val="single" w:sz="6" w:space="0" w:color="auto"/>
              <w:left w:val="single" w:sz="6" w:space="0" w:color="auto"/>
              <w:bottom w:val="single" w:sz="6" w:space="0" w:color="auto"/>
              <w:right w:val="single" w:sz="6" w:space="0" w:color="auto"/>
            </w:tcBorders>
          </w:tcPr>
          <w:p w14:paraId="09F58E4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c>
          <w:tcPr>
            <w:tcW w:w="1323" w:type="dxa"/>
            <w:tcBorders>
              <w:top w:val="single" w:sz="6" w:space="0" w:color="auto"/>
              <w:left w:val="single" w:sz="6" w:space="0" w:color="auto"/>
              <w:bottom w:val="single" w:sz="6" w:space="0" w:color="auto"/>
              <w:right w:val="single" w:sz="6" w:space="0" w:color="auto"/>
            </w:tcBorders>
          </w:tcPr>
          <w:p w14:paraId="2C6134D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1,494</w:t>
            </w:r>
          </w:p>
        </w:tc>
        <w:tc>
          <w:tcPr>
            <w:tcW w:w="1323" w:type="dxa"/>
            <w:tcBorders>
              <w:top w:val="single" w:sz="6" w:space="0" w:color="auto"/>
              <w:left w:val="single" w:sz="6" w:space="0" w:color="auto"/>
              <w:bottom w:val="single" w:sz="6" w:space="0" w:color="auto"/>
              <w:right w:val="single" w:sz="6" w:space="0" w:color="auto"/>
            </w:tcBorders>
          </w:tcPr>
          <w:p w14:paraId="28358C5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w:t>
            </w:r>
          </w:p>
        </w:tc>
        <w:tc>
          <w:tcPr>
            <w:tcW w:w="1324" w:type="dxa"/>
            <w:tcBorders>
              <w:top w:val="single" w:sz="6" w:space="0" w:color="auto"/>
              <w:left w:val="single" w:sz="6" w:space="0" w:color="auto"/>
              <w:bottom w:val="single" w:sz="6" w:space="0" w:color="auto"/>
              <w:right w:val="single" w:sz="6" w:space="0" w:color="auto"/>
            </w:tcBorders>
          </w:tcPr>
          <w:p w14:paraId="2955330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18,890</w:t>
            </w:r>
          </w:p>
        </w:tc>
      </w:tr>
      <w:tr w:rsidR="00132CF4" w:rsidRPr="00392E0D" w14:paraId="69567915"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6919E047"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23" w:type="dxa"/>
            <w:tcBorders>
              <w:top w:val="single" w:sz="6" w:space="0" w:color="auto"/>
              <w:left w:val="single" w:sz="6" w:space="0" w:color="auto"/>
              <w:bottom w:val="single" w:sz="6" w:space="0" w:color="auto"/>
              <w:right w:val="single" w:sz="6" w:space="0" w:color="auto"/>
            </w:tcBorders>
          </w:tcPr>
          <w:p w14:paraId="20BDECD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15,805</w:t>
            </w:r>
          </w:p>
        </w:tc>
        <w:tc>
          <w:tcPr>
            <w:tcW w:w="1323" w:type="dxa"/>
            <w:tcBorders>
              <w:top w:val="single" w:sz="6" w:space="0" w:color="auto"/>
              <w:left w:val="single" w:sz="6" w:space="0" w:color="auto"/>
              <w:bottom w:val="single" w:sz="6" w:space="0" w:color="auto"/>
              <w:right w:val="single" w:sz="6" w:space="0" w:color="auto"/>
            </w:tcBorders>
          </w:tcPr>
          <w:p w14:paraId="3133E74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82.7</w:t>
            </w:r>
          </w:p>
        </w:tc>
        <w:tc>
          <w:tcPr>
            <w:tcW w:w="1323" w:type="dxa"/>
            <w:tcBorders>
              <w:top w:val="single" w:sz="6" w:space="0" w:color="auto"/>
              <w:left w:val="single" w:sz="6" w:space="0" w:color="auto"/>
              <w:bottom w:val="single" w:sz="6" w:space="0" w:color="auto"/>
              <w:right w:val="single" w:sz="6" w:space="0" w:color="auto"/>
            </w:tcBorders>
          </w:tcPr>
          <w:p w14:paraId="2F3C22E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1,928</w:t>
            </w:r>
          </w:p>
        </w:tc>
        <w:tc>
          <w:tcPr>
            <w:tcW w:w="1323" w:type="dxa"/>
            <w:tcBorders>
              <w:top w:val="single" w:sz="6" w:space="0" w:color="auto"/>
              <w:left w:val="single" w:sz="6" w:space="0" w:color="auto"/>
              <w:bottom w:val="single" w:sz="6" w:space="0" w:color="auto"/>
              <w:right w:val="single" w:sz="6" w:space="0" w:color="auto"/>
            </w:tcBorders>
          </w:tcPr>
          <w:p w14:paraId="3112B8E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323" w:type="dxa"/>
            <w:tcBorders>
              <w:top w:val="single" w:sz="6" w:space="0" w:color="auto"/>
              <w:left w:val="single" w:sz="6" w:space="0" w:color="auto"/>
              <w:bottom w:val="single" w:sz="6" w:space="0" w:color="auto"/>
              <w:right w:val="single" w:sz="6" w:space="0" w:color="auto"/>
            </w:tcBorders>
          </w:tcPr>
          <w:p w14:paraId="364D35D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1,375</w:t>
            </w:r>
          </w:p>
        </w:tc>
        <w:tc>
          <w:tcPr>
            <w:tcW w:w="1323" w:type="dxa"/>
            <w:tcBorders>
              <w:top w:val="single" w:sz="6" w:space="0" w:color="auto"/>
              <w:left w:val="single" w:sz="6" w:space="0" w:color="auto"/>
              <w:bottom w:val="single" w:sz="6" w:space="0" w:color="auto"/>
              <w:right w:val="single" w:sz="6" w:space="0" w:color="auto"/>
            </w:tcBorders>
          </w:tcPr>
          <w:p w14:paraId="4B1829F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w:t>
            </w:r>
          </w:p>
        </w:tc>
        <w:tc>
          <w:tcPr>
            <w:tcW w:w="1324" w:type="dxa"/>
            <w:tcBorders>
              <w:top w:val="single" w:sz="6" w:space="0" w:color="auto"/>
              <w:left w:val="single" w:sz="6" w:space="0" w:color="auto"/>
              <w:bottom w:val="single" w:sz="6" w:space="0" w:color="auto"/>
              <w:right w:val="single" w:sz="6" w:space="0" w:color="auto"/>
            </w:tcBorders>
          </w:tcPr>
          <w:p w14:paraId="790FAC6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19,108</w:t>
            </w:r>
          </w:p>
        </w:tc>
      </w:tr>
      <w:tr w:rsidR="00132CF4" w:rsidRPr="00392E0D" w14:paraId="48FB8477"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3570105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23" w:type="dxa"/>
            <w:tcBorders>
              <w:top w:val="single" w:sz="6" w:space="0" w:color="auto"/>
              <w:left w:val="single" w:sz="6" w:space="0" w:color="auto"/>
              <w:bottom w:val="single" w:sz="6" w:space="0" w:color="auto"/>
              <w:right w:val="single" w:sz="6" w:space="0" w:color="auto"/>
            </w:tcBorders>
          </w:tcPr>
          <w:p w14:paraId="272FC12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15,433</w:t>
            </w:r>
          </w:p>
        </w:tc>
        <w:tc>
          <w:tcPr>
            <w:tcW w:w="1323" w:type="dxa"/>
            <w:tcBorders>
              <w:top w:val="single" w:sz="6" w:space="0" w:color="auto"/>
              <w:left w:val="single" w:sz="6" w:space="0" w:color="auto"/>
              <w:bottom w:val="single" w:sz="6" w:space="0" w:color="auto"/>
              <w:right w:val="single" w:sz="6" w:space="0" w:color="auto"/>
            </w:tcBorders>
          </w:tcPr>
          <w:p w14:paraId="6E11F66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83.6</w:t>
            </w:r>
          </w:p>
        </w:tc>
        <w:tc>
          <w:tcPr>
            <w:tcW w:w="1323" w:type="dxa"/>
            <w:tcBorders>
              <w:top w:val="single" w:sz="6" w:space="0" w:color="auto"/>
              <w:left w:val="single" w:sz="6" w:space="0" w:color="auto"/>
              <w:bottom w:val="single" w:sz="6" w:space="0" w:color="auto"/>
              <w:right w:val="single" w:sz="6" w:space="0" w:color="auto"/>
            </w:tcBorders>
          </w:tcPr>
          <w:p w14:paraId="42274D6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1,770</w:t>
            </w:r>
          </w:p>
        </w:tc>
        <w:tc>
          <w:tcPr>
            <w:tcW w:w="1323" w:type="dxa"/>
            <w:tcBorders>
              <w:top w:val="single" w:sz="6" w:space="0" w:color="auto"/>
              <w:left w:val="single" w:sz="6" w:space="0" w:color="auto"/>
              <w:bottom w:val="single" w:sz="6" w:space="0" w:color="auto"/>
              <w:right w:val="single" w:sz="6" w:space="0" w:color="auto"/>
            </w:tcBorders>
          </w:tcPr>
          <w:p w14:paraId="78D021E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w:t>
            </w:r>
          </w:p>
        </w:tc>
        <w:tc>
          <w:tcPr>
            <w:tcW w:w="1323" w:type="dxa"/>
            <w:tcBorders>
              <w:top w:val="single" w:sz="6" w:space="0" w:color="auto"/>
              <w:left w:val="single" w:sz="6" w:space="0" w:color="auto"/>
              <w:bottom w:val="single" w:sz="6" w:space="0" w:color="auto"/>
              <w:right w:val="single" w:sz="6" w:space="0" w:color="auto"/>
            </w:tcBorders>
          </w:tcPr>
          <w:p w14:paraId="63B2A14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1,263</w:t>
            </w:r>
          </w:p>
        </w:tc>
        <w:tc>
          <w:tcPr>
            <w:tcW w:w="1323" w:type="dxa"/>
            <w:tcBorders>
              <w:top w:val="single" w:sz="6" w:space="0" w:color="auto"/>
              <w:left w:val="single" w:sz="6" w:space="0" w:color="auto"/>
              <w:bottom w:val="single" w:sz="6" w:space="0" w:color="auto"/>
              <w:right w:val="single" w:sz="6" w:space="0" w:color="auto"/>
            </w:tcBorders>
          </w:tcPr>
          <w:p w14:paraId="56E2A19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w:t>
            </w:r>
          </w:p>
        </w:tc>
        <w:tc>
          <w:tcPr>
            <w:tcW w:w="1324" w:type="dxa"/>
            <w:tcBorders>
              <w:top w:val="single" w:sz="6" w:space="0" w:color="auto"/>
              <w:left w:val="single" w:sz="6" w:space="0" w:color="auto"/>
              <w:bottom w:val="single" w:sz="6" w:space="0" w:color="auto"/>
              <w:right w:val="single" w:sz="6" w:space="0" w:color="auto"/>
            </w:tcBorders>
          </w:tcPr>
          <w:p w14:paraId="4F5D4A6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18,466</w:t>
            </w:r>
          </w:p>
        </w:tc>
      </w:tr>
      <w:tr w:rsidR="00132CF4" w:rsidRPr="00392E0D" w14:paraId="0087ACB4"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7415B48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23" w:type="dxa"/>
            <w:tcBorders>
              <w:top w:val="single" w:sz="6" w:space="0" w:color="auto"/>
              <w:left w:val="single" w:sz="6" w:space="0" w:color="auto"/>
              <w:bottom w:val="single" w:sz="6" w:space="0" w:color="auto"/>
              <w:right w:val="single" w:sz="6" w:space="0" w:color="auto"/>
            </w:tcBorders>
          </w:tcPr>
          <w:p w14:paraId="7FBB7D1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14,440</w:t>
            </w:r>
          </w:p>
        </w:tc>
        <w:tc>
          <w:tcPr>
            <w:tcW w:w="1323" w:type="dxa"/>
            <w:tcBorders>
              <w:top w:val="single" w:sz="6" w:space="0" w:color="auto"/>
              <w:left w:val="single" w:sz="6" w:space="0" w:color="auto"/>
              <w:bottom w:val="single" w:sz="6" w:space="0" w:color="auto"/>
              <w:right w:val="single" w:sz="6" w:space="0" w:color="auto"/>
            </w:tcBorders>
          </w:tcPr>
          <w:p w14:paraId="56BA409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82.8</w:t>
            </w:r>
          </w:p>
        </w:tc>
        <w:tc>
          <w:tcPr>
            <w:tcW w:w="1323" w:type="dxa"/>
            <w:tcBorders>
              <w:top w:val="single" w:sz="6" w:space="0" w:color="auto"/>
              <w:left w:val="single" w:sz="6" w:space="0" w:color="auto"/>
              <w:bottom w:val="single" w:sz="6" w:space="0" w:color="auto"/>
              <w:right w:val="single" w:sz="6" w:space="0" w:color="auto"/>
            </w:tcBorders>
          </w:tcPr>
          <w:p w14:paraId="424D5A2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1,804</w:t>
            </w:r>
          </w:p>
        </w:tc>
        <w:tc>
          <w:tcPr>
            <w:tcW w:w="1323" w:type="dxa"/>
            <w:tcBorders>
              <w:top w:val="single" w:sz="6" w:space="0" w:color="auto"/>
              <w:left w:val="single" w:sz="6" w:space="0" w:color="auto"/>
              <w:bottom w:val="single" w:sz="6" w:space="0" w:color="auto"/>
              <w:right w:val="single" w:sz="6" w:space="0" w:color="auto"/>
            </w:tcBorders>
          </w:tcPr>
          <w:p w14:paraId="2C87FD2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10.3</w:t>
            </w:r>
          </w:p>
        </w:tc>
        <w:tc>
          <w:tcPr>
            <w:tcW w:w="1323" w:type="dxa"/>
            <w:tcBorders>
              <w:top w:val="single" w:sz="6" w:space="0" w:color="auto"/>
              <w:left w:val="single" w:sz="6" w:space="0" w:color="auto"/>
              <w:bottom w:val="single" w:sz="6" w:space="0" w:color="auto"/>
              <w:right w:val="single" w:sz="6" w:space="0" w:color="auto"/>
            </w:tcBorders>
          </w:tcPr>
          <w:p w14:paraId="7806C3F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1,188</w:t>
            </w:r>
          </w:p>
        </w:tc>
        <w:tc>
          <w:tcPr>
            <w:tcW w:w="1323" w:type="dxa"/>
            <w:tcBorders>
              <w:top w:val="single" w:sz="6" w:space="0" w:color="auto"/>
              <w:left w:val="single" w:sz="6" w:space="0" w:color="auto"/>
              <w:bottom w:val="single" w:sz="6" w:space="0" w:color="auto"/>
              <w:right w:val="single" w:sz="6" w:space="0" w:color="auto"/>
            </w:tcBorders>
          </w:tcPr>
          <w:p w14:paraId="3698A09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w:t>
            </w:r>
          </w:p>
        </w:tc>
        <w:tc>
          <w:tcPr>
            <w:tcW w:w="1324" w:type="dxa"/>
            <w:tcBorders>
              <w:top w:val="single" w:sz="6" w:space="0" w:color="auto"/>
              <w:left w:val="single" w:sz="6" w:space="0" w:color="auto"/>
              <w:bottom w:val="single" w:sz="6" w:space="0" w:color="auto"/>
              <w:right w:val="single" w:sz="6" w:space="0" w:color="auto"/>
            </w:tcBorders>
          </w:tcPr>
          <w:p w14:paraId="1854993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17,432</w:t>
            </w:r>
          </w:p>
        </w:tc>
      </w:tr>
      <w:tr w:rsidR="00132CF4" w:rsidRPr="00392E0D" w14:paraId="1693AA88"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6FF92C4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23" w:type="dxa"/>
            <w:tcBorders>
              <w:top w:val="single" w:sz="6" w:space="0" w:color="auto"/>
              <w:left w:val="single" w:sz="6" w:space="0" w:color="auto"/>
              <w:bottom w:val="single" w:sz="6" w:space="0" w:color="auto"/>
              <w:right w:val="single" w:sz="6" w:space="0" w:color="auto"/>
            </w:tcBorders>
          </w:tcPr>
          <w:p w14:paraId="4525D85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12,490</w:t>
            </w:r>
          </w:p>
        </w:tc>
        <w:tc>
          <w:tcPr>
            <w:tcW w:w="1323" w:type="dxa"/>
            <w:tcBorders>
              <w:top w:val="single" w:sz="6" w:space="0" w:color="auto"/>
              <w:left w:val="single" w:sz="6" w:space="0" w:color="auto"/>
              <w:bottom w:val="single" w:sz="6" w:space="0" w:color="auto"/>
              <w:right w:val="single" w:sz="6" w:space="0" w:color="auto"/>
            </w:tcBorders>
          </w:tcPr>
          <w:p w14:paraId="57EA9BB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83.0</w:t>
            </w:r>
          </w:p>
        </w:tc>
        <w:tc>
          <w:tcPr>
            <w:tcW w:w="1323" w:type="dxa"/>
            <w:tcBorders>
              <w:top w:val="single" w:sz="6" w:space="0" w:color="auto"/>
              <w:left w:val="single" w:sz="6" w:space="0" w:color="auto"/>
              <w:bottom w:val="single" w:sz="6" w:space="0" w:color="auto"/>
              <w:right w:val="single" w:sz="6" w:space="0" w:color="auto"/>
            </w:tcBorders>
          </w:tcPr>
          <w:p w14:paraId="5E638D5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1,627</w:t>
            </w:r>
          </w:p>
        </w:tc>
        <w:tc>
          <w:tcPr>
            <w:tcW w:w="1323" w:type="dxa"/>
            <w:tcBorders>
              <w:top w:val="single" w:sz="6" w:space="0" w:color="auto"/>
              <w:left w:val="single" w:sz="6" w:space="0" w:color="auto"/>
              <w:bottom w:val="single" w:sz="6" w:space="0" w:color="auto"/>
              <w:right w:val="single" w:sz="6" w:space="0" w:color="auto"/>
            </w:tcBorders>
          </w:tcPr>
          <w:p w14:paraId="2C32641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1323" w:type="dxa"/>
            <w:tcBorders>
              <w:top w:val="single" w:sz="6" w:space="0" w:color="auto"/>
              <w:left w:val="single" w:sz="6" w:space="0" w:color="auto"/>
              <w:bottom w:val="single" w:sz="6" w:space="0" w:color="auto"/>
              <w:right w:val="single" w:sz="6" w:space="0" w:color="auto"/>
            </w:tcBorders>
          </w:tcPr>
          <w:p w14:paraId="2436177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923</w:t>
            </w:r>
          </w:p>
        </w:tc>
        <w:tc>
          <w:tcPr>
            <w:tcW w:w="1323" w:type="dxa"/>
            <w:tcBorders>
              <w:top w:val="single" w:sz="6" w:space="0" w:color="auto"/>
              <w:left w:val="single" w:sz="6" w:space="0" w:color="auto"/>
              <w:bottom w:val="single" w:sz="6" w:space="0" w:color="auto"/>
              <w:right w:val="single" w:sz="6" w:space="0" w:color="auto"/>
            </w:tcBorders>
          </w:tcPr>
          <w:p w14:paraId="4A2E7BD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w:t>
            </w:r>
          </w:p>
        </w:tc>
        <w:tc>
          <w:tcPr>
            <w:tcW w:w="1324" w:type="dxa"/>
            <w:tcBorders>
              <w:top w:val="single" w:sz="6" w:space="0" w:color="auto"/>
              <w:left w:val="single" w:sz="6" w:space="0" w:color="auto"/>
              <w:bottom w:val="single" w:sz="6" w:space="0" w:color="auto"/>
              <w:right w:val="single" w:sz="6" w:space="0" w:color="auto"/>
            </w:tcBorders>
          </w:tcPr>
          <w:p w14:paraId="74525BA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15,040</w:t>
            </w:r>
          </w:p>
        </w:tc>
      </w:tr>
    </w:tbl>
    <w:p w14:paraId="4D79773C" w14:textId="37FF87D0" w:rsidR="00132CF4" w:rsidRPr="00392E0D" w:rsidRDefault="00132CF4" w:rsidP="00132CF4">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79</w:t>
      </w:r>
      <w:r w:rsidRPr="00392E0D">
        <w:rPr>
          <w:rFonts w:cs="Arial"/>
        </w:rPr>
        <w:fldChar w:fldCharType="end"/>
      </w:r>
      <w:r w:rsidRPr="00392E0D">
        <w:rPr>
          <w:rFonts w:cs="Arial"/>
        </w:rPr>
        <w:tab/>
      </w:r>
      <w:r w:rsidRPr="00392E0D">
        <w:rPr>
          <w:rFonts w:eastAsiaTheme="minorHAnsi" w:cs="Arial"/>
          <w:lang w:val="en-AU"/>
        </w:rPr>
        <w:t>South Australia trends (2009 – 2021) – Communication skills and general knowledge domain</w:t>
      </w:r>
    </w:p>
    <w:tbl>
      <w:tblPr>
        <w:tblW w:w="10236" w:type="dxa"/>
        <w:tblInd w:w="-38" w:type="dxa"/>
        <w:tblLayout w:type="fixed"/>
        <w:tblLook w:val="0000" w:firstRow="0" w:lastRow="0" w:firstColumn="0" w:lastColumn="0" w:noHBand="0" w:noVBand="0"/>
      </w:tblPr>
      <w:tblGrid>
        <w:gridCol w:w="974"/>
        <w:gridCol w:w="1323"/>
        <w:gridCol w:w="1323"/>
        <w:gridCol w:w="1323"/>
        <w:gridCol w:w="1323"/>
        <w:gridCol w:w="1323"/>
        <w:gridCol w:w="1323"/>
        <w:gridCol w:w="1324"/>
      </w:tblGrid>
      <w:tr w:rsidR="00132CF4" w:rsidRPr="00392E0D" w14:paraId="2B40058F"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tcPr>
          <w:p w14:paraId="2EA1626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p>
        </w:tc>
        <w:tc>
          <w:tcPr>
            <w:tcW w:w="1323" w:type="dxa"/>
            <w:tcBorders>
              <w:top w:val="single" w:sz="6" w:space="0" w:color="auto"/>
              <w:left w:val="single" w:sz="6" w:space="0" w:color="auto"/>
              <w:bottom w:val="single" w:sz="6" w:space="0" w:color="auto"/>
              <w:right w:val="single" w:sz="6" w:space="0" w:color="auto"/>
            </w:tcBorders>
            <w:vAlign w:val="bottom"/>
          </w:tcPr>
          <w:p w14:paraId="004921D4" w14:textId="00A1390C"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(n)</w:t>
            </w:r>
          </w:p>
        </w:tc>
        <w:tc>
          <w:tcPr>
            <w:tcW w:w="1323" w:type="dxa"/>
            <w:tcBorders>
              <w:top w:val="single" w:sz="6" w:space="0" w:color="auto"/>
              <w:left w:val="single" w:sz="6" w:space="0" w:color="auto"/>
              <w:bottom w:val="single" w:sz="6" w:space="0" w:color="auto"/>
              <w:right w:val="single" w:sz="6" w:space="0" w:color="auto"/>
            </w:tcBorders>
            <w:vAlign w:val="bottom"/>
          </w:tcPr>
          <w:p w14:paraId="10A360AA" w14:textId="221B513F"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on track (%)</w:t>
            </w:r>
          </w:p>
        </w:tc>
        <w:tc>
          <w:tcPr>
            <w:tcW w:w="1323" w:type="dxa"/>
            <w:tcBorders>
              <w:top w:val="single" w:sz="6" w:space="0" w:color="auto"/>
              <w:left w:val="single" w:sz="6" w:space="0" w:color="auto"/>
              <w:bottom w:val="single" w:sz="6" w:space="0" w:color="auto"/>
              <w:right w:val="single" w:sz="6" w:space="0" w:color="auto"/>
            </w:tcBorders>
            <w:vAlign w:val="bottom"/>
          </w:tcPr>
          <w:p w14:paraId="66C01866" w14:textId="1F557096"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(n)</w:t>
            </w:r>
          </w:p>
        </w:tc>
        <w:tc>
          <w:tcPr>
            <w:tcW w:w="1323" w:type="dxa"/>
            <w:tcBorders>
              <w:top w:val="single" w:sz="6" w:space="0" w:color="auto"/>
              <w:left w:val="single" w:sz="6" w:space="0" w:color="auto"/>
              <w:bottom w:val="single" w:sz="6" w:space="0" w:color="auto"/>
              <w:right w:val="single" w:sz="6" w:space="0" w:color="auto"/>
            </w:tcBorders>
            <w:vAlign w:val="bottom"/>
          </w:tcPr>
          <w:p w14:paraId="7274E390" w14:textId="6E6C1941"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at risk (%)</w:t>
            </w:r>
          </w:p>
        </w:tc>
        <w:tc>
          <w:tcPr>
            <w:tcW w:w="1323" w:type="dxa"/>
            <w:tcBorders>
              <w:top w:val="single" w:sz="6" w:space="0" w:color="auto"/>
              <w:left w:val="single" w:sz="6" w:space="0" w:color="auto"/>
              <w:bottom w:val="single" w:sz="6" w:space="0" w:color="auto"/>
              <w:right w:val="single" w:sz="6" w:space="0" w:color="auto"/>
            </w:tcBorders>
            <w:vAlign w:val="bottom"/>
          </w:tcPr>
          <w:p w14:paraId="094B0DEB" w14:textId="778733A3"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(n)</w:t>
            </w:r>
          </w:p>
        </w:tc>
        <w:tc>
          <w:tcPr>
            <w:tcW w:w="1323" w:type="dxa"/>
            <w:tcBorders>
              <w:top w:val="single" w:sz="6" w:space="0" w:color="auto"/>
              <w:left w:val="single" w:sz="6" w:space="0" w:color="auto"/>
              <w:bottom w:val="single" w:sz="6" w:space="0" w:color="auto"/>
              <w:right w:val="single" w:sz="6" w:space="0" w:color="auto"/>
            </w:tcBorders>
            <w:vAlign w:val="bottom"/>
          </w:tcPr>
          <w:p w14:paraId="1F619490" w14:textId="3BB1AA34" w:rsidR="00132CF4" w:rsidRPr="00392E0D" w:rsidRDefault="00ED2465"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132CF4" w:rsidRPr="00392E0D">
              <w:rPr>
                <w:rFonts w:ascii="Arial" w:eastAsiaTheme="minorHAnsi" w:hAnsi="Arial" w:cs="Arial"/>
                <w:color w:val="000000"/>
                <w:sz w:val="20"/>
                <w:szCs w:val="20"/>
                <w:lang w:val="en-AU"/>
              </w:rPr>
              <w:t xml:space="preserve"> vulnerable (%)</w:t>
            </w:r>
          </w:p>
        </w:tc>
        <w:tc>
          <w:tcPr>
            <w:tcW w:w="1324" w:type="dxa"/>
            <w:tcBorders>
              <w:top w:val="single" w:sz="6" w:space="0" w:color="auto"/>
              <w:left w:val="single" w:sz="6" w:space="0" w:color="auto"/>
              <w:bottom w:val="single" w:sz="6" w:space="0" w:color="auto"/>
              <w:right w:val="single" w:sz="6" w:space="0" w:color="auto"/>
            </w:tcBorders>
            <w:vAlign w:val="bottom"/>
          </w:tcPr>
          <w:p w14:paraId="7D8D27E2" w14:textId="0B36478B" w:rsidR="00132CF4" w:rsidRPr="00392E0D" w:rsidRDefault="009B7612"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132CF4" w:rsidRPr="00392E0D" w14:paraId="5EDED296"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52220D8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23" w:type="dxa"/>
            <w:tcBorders>
              <w:top w:val="single" w:sz="6" w:space="0" w:color="auto"/>
              <w:left w:val="single" w:sz="6" w:space="0" w:color="auto"/>
              <w:bottom w:val="single" w:sz="6" w:space="0" w:color="auto"/>
              <w:right w:val="single" w:sz="6" w:space="0" w:color="auto"/>
            </w:tcBorders>
          </w:tcPr>
          <w:p w14:paraId="7F6EA27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14,744</w:t>
            </w:r>
          </w:p>
        </w:tc>
        <w:tc>
          <w:tcPr>
            <w:tcW w:w="1323" w:type="dxa"/>
            <w:tcBorders>
              <w:top w:val="single" w:sz="6" w:space="0" w:color="auto"/>
              <w:left w:val="single" w:sz="6" w:space="0" w:color="auto"/>
              <w:bottom w:val="single" w:sz="6" w:space="0" w:color="auto"/>
              <w:right w:val="single" w:sz="6" w:space="0" w:color="auto"/>
            </w:tcBorders>
          </w:tcPr>
          <w:p w14:paraId="525B19E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77.8</w:t>
            </w:r>
          </w:p>
        </w:tc>
        <w:tc>
          <w:tcPr>
            <w:tcW w:w="1323" w:type="dxa"/>
            <w:tcBorders>
              <w:top w:val="single" w:sz="6" w:space="0" w:color="auto"/>
              <w:left w:val="single" w:sz="6" w:space="0" w:color="auto"/>
              <w:bottom w:val="single" w:sz="6" w:space="0" w:color="auto"/>
              <w:right w:val="single" w:sz="6" w:space="0" w:color="auto"/>
            </w:tcBorders>
          </w:tcPr>
          <w:p w14:paraId="0BFC893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2,576</w:t>
            </w:r>
          </w:p>
        </w:tc>
        <w:tc>
          <w:tcPr>
            <w:tcW w:w="1323" w:type="dxa"/>
            <w:tcBorders>
              <w:top w:val="single" w:sz="6" w:space="0" w:color="auto"/>
              <w:left w:val="single" w:sz="6" w:space="0" w:color="auto"/>
              <w:bottom w:val="single" w:sz="6" w:space="0" w:color="auto"/>
              <w:right w:val="single" w:sz="6" w:space="0" w:color="auto"/>
            </w:tcBorders>
          </w:tcPr>
          <w:p w14:paraId="7228802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13.6</w:t>
            </w:r>
          </w:p>
        </w:tc>
        <w:tc>
          <w:tcPr>
            <w:tcW w:w="1323" w:type="dxa"/>
            <w:tcBorders>
              <w:top w:val="single" w:sz="6" w:space="0" w:color="auto"/>
              <w:left w:val="single" w:sz="6" w:space="0" w:color="auto"/>
              <w:bottom w:val="single" w:sz="6" w:space="0" w:color="auto"/>
              <w:right w:val="single" w:sz="6" w:space="0" w:color="auto"/>
            </w:tcBorders>
          </w:tcPr>
          <w:p w14:paraId="16C875F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1,622</w:t>
            </w:r>
          </w:p>
        </w:tc>
        <w:tc>
          <w:tcPr>
            <w:tcW w:w="1323" w:type="dxa"/>
            <w:tcBorders>
              <w:top w:val="single" w:sz="6" w:space="0" w:color="auto"/>
              <w:left w:val="single" w:sz="6" w:space="0" w:color="auto"/>
              <w:bottom w:val="single" w:sz="6" w:space="0" w:color="auto"/>
              <w:right w:val="single" w:sz="6" w:space="0" w:color="auto"/>
            </w:tcBorders>
          </w:tcPr>
          <w:p w14:paraId="23614D1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8.6</w:t>
            </w:r>
          </w:p>
        </w:tc>
        <w:tc>
          <w:tcPr>
            <w:tcW w:w="1324" w:type="dxa"/>
            <w:tcBorders>
              <w:top w:val="single" w:sz="6" w:space="0" w:color="auto"/>
              <w:left w:val="single" w:sz="6" w:space="0" w:color="auto"/>
              <w:bottom w:val="single" w:sz="6" w:space="0" w:color="auto"/>
              <w:right w:val="single" w:sz="6" w:space="0" w:color="auto"/>
            </w:tcBorders>
          </w:tcPr>
          <w:p w14:paraId="66D6F0C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18,942</w:t>
            </w:r>
          </w:p>
        </w:tc>
      </w:tr>
      <w:tr w:rsidR="00132CF4" w:rsidRPr="00392E0D" w14:paraId="28E123CB"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2541A05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23" w:type="dxa"/>
            <w:tcBorders>
              <w:top w:val="single" w:sz="6" w:space="0" w:color="auto"/>
              <w:left w:val="single" w:sz="6" w:space="0" w:color="auto"/>
              <w:bottom w:val="single" w:sz="6" w:space="0" w:color="auto"/>
              <w:right w:val="single" w:sz="6" w:space="0" w:color="auto"/>
            </w:tcBorders>
          </w:tcPr>
          <w:p w14:paraId="61B1910F"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14,919</w:t>
            </w:r>
          </w:p>
        </w:tc>
        <w:tc>
          <w:tcPr>
            <w:tcW w:w="1323" w:type="dxa"/>
            <w:tcBorders>
              <w:top w:val="single" w:sz="6" w:space="0" w:color="auto"/>
              <w:left w:val="single" w:sz="6" w:space="0" w:color="auto"/>
              <w:bottom w:val="single" w:sz="6" w:space="0" w:color="auto"/>
              <w:right w:val="single" w:sz="6" w:space="0" w:color="auto"/>
            </w:tcBorders>
          </w:tcPr>
          <w:p w14:paraId="7416C9A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77.8</w:t>
            </w:r>
          </w:p>
        </w:tc>
        <w:tc>
          <w:tcPr>
            <w:tcW w:w="1323" w:type="dxa"/>
            <w:tcBorders>
              <w:top w:val="single" w:sz="6" w:space="0" w:color="auto"/>
              <w:left w:val="single" w:sz="6" w:space="0" w:color="auto"/>
              <w:bottom w:val="single" w:sz="6" w:space="0" w:color="auto"/>
              <w:right w:val="single" w:sz="6" w:space="0" w:color="auto"/>
            </w:tcBorders>
          </w:tcPr>
          <w:p w14:paraId="294330BD"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2,642</w:t>
            </w:r>
          </w:p>
        </w:tc>
        <w:tc>
          <w:tcPr>
            <w:tcW w:w="1323" w:type="dxa"/>
            <w:tcBorders>
              <w:top w:val="single" w:sz="6" w:space="0" w:color="auto"/>
              <w:left w:val="single" w:sz="6" w:space="0" w:color="auto"/>
              <w:bottom w:val="single" w:sz="6" w:space="0" w:color="auto"/>
              <w:right w:val="single" w:sz="6" w:space="0" w:color="auto"/>
            </w:tcBorders>
          </w:tcPr>
          <w:p w14:paraId="11B17C2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13.8</w:t>
            </w:r>
          </w:p>
        </w:tc>
        <w:tc>
          <w:tcPr>
            <w:tcW w:w="1323" w:type="dxa"/>
            <w:tcBorders>
              <w:top w:val="single" w:sz="6" w:space="0" w:color="auto"/>
              <w:left w:val="single" w:sz="6" w:space="0" w:color="auto"/>
              <w:bottom w:val="single" w:sz="6" w:space="0" w:color="auto"/>
              <w:right w:val="single" w:sz="6" w:space="0" w:color="auto"/>
            </w:tcBorders>
          </w:tcPr>
          <w:p w14:paraId="60F3E40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1,620</w:t>
            </w:r>
          </w:p>
        </w:tc>
        <w:tc>
          <w:tcPr>
            <w:tcW w:w="1323" w:type="dxa"/>
            <w:tcBorders>
              <w:top w:val="single" w:sz="6" w:space="0" w:color="auto"/>
              <w:left w:val="single" w:sz="6" w:space="0" w:color="auto"/>
              <w:bottom w:val="single" w:sz="6" w:space="0" w:color="auto"/>
              <w:right w:val="single" w:sz="6" w:space="0" w:color="auto"/>
            </w:tcBorders>
          </w:tcPr>
          <w:p w14:paraId="07803C9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w:t>
            </w:r>
          </w:p>
        </w:tc>
        <w:tc>
          <w:tcPr>
            <w:tcW w:w="1324" w:type="dxa"/>
            <w:tcBorders>
              <w:top w:val="single" w:sz="6" w:space="0" w:color="auto"/>
              <w:left w:val="single" w:sz="6" w:space="0" w:color="auto"/>
              <w:bottom w:val="single" w:sz="6" w:space="0" w:color="auto"/>
              <w:right w:val="single" w:sz="6" w:space="0" w:color="auto"/>
            </w:tcBorders>
          </w:tcPr>
          <w:p w14:paraId="5DA1F28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19,181</w:t>
            </w:r>
          </w:p>
        </w:tc>
      </w:tr>
      <w:tr w:rsidR="00132CF4" w:rsidRPr="00392E0D" w14:paraId="30807AEE"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6026EFE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23" w:type="dxa"/>
            <w:tcBorders>
              <w:top w:val="single" w:sz="6" w:space="0" w:color="auto"/>
              <w:left w:val="single" w:sz="6" w:space="0" w:color="auto"/>
              <w:bottom w:val="single" w:sz="6" w:space="0" w:color="auto"/>
              <w:right w:val="single" w:sz="6" w:space="0" w:color="auto"/>
            </w:tcBorders>
          </w:tcPr>
          <w:p w14:paraId="50CF0E05"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14,265</w:t>
            </w:r>
          </w:p>
        </w:tc>
        <w:tc>
          <w:tcPr>
            <w:tcW w:w="1323" w:type="dxa"/>
            <w:tcBorders>
              <w:top w:val="single" w:sz="6" w:space="0" w:color="auto"/>
              <w:left w:val="single" w:sz="6" w:space="0" w:color="auto"/>
              <w:bottom w:val="single" w:sz="6" w:space="0" w:color="auto"/>
              <w:right w:val="single" w:sz="6" w:space="0" w:color="auto"/>
            </w:tcBorders>
          </w:tcPr>
          <w:p w14:paraId="3259B520"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77.0</w:t>
            </w:r>
          </w:p>
        </w:tc>
        <w:tc>
          <w:tcPr>
            <w:tcW w:w="1323" w:type="dxa"/>
            <w:tcBorders>
              <w:top w:val="single" w:sz="6" w:space="0" w:color="auto"/>
              <w:left w:val="single" w:sz="6" w:space="0" w:color="auto"/>
              <w:bottom w:val="single" w:sz="6" w:space="0" w:color="auto"/>
              <w:right w:val="single" w:sz="6" w:space="0" w:color="auto"/>
            </w:tcBorders>
          </w:tcPr>
          <w:p w14:paraId="3686684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2,744</w:t>
            </w:r>
          </w:p>
        </w:tc>
        <w:tc>
          <w:tcPr>
            <w:tcW w:w="1323" w:type="dxa"/>
            <w:tcBorders>
              <w:top w:val="single" w:sz="6" w:space="0" w:color="auto"/>
              <w:left w:val="single" w:sz="6" w:space="0" w:color="auto"/>
              <w:bottom w:val="single" w:sz="6" w:space="0" w:color="auto"/>
              <w:right w:val="single" w:sz="6" w:space="0" w:color="auto"/>
            </w:tcBorders>
          </w:tcPr>
          <w:p w14:paraId="5D5AB1CC"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w:t>
            </w:r>
          </w:p>
        </w:tc>
        <w:tc>
          <w:tcPr>
            <w:tcW w:w="1323" w:type="dxa"/>
            <w:tcBorders>
              <w:top w:val="single" w:sz="6" w:space="0" w:color="auto"/>
              <w:left w:val="single" w:sz="6" w:space="0" w:color="auto"/>
              <w:bottom w:val="single" w:sz="6" w:space="0" w:color="auto"/>
              <w:right w:val="single" w:sz="6" w:space="0" w:color="auto"/>
            </w:tcBorders>
          </w:tcPr>
          <w:p w14:paraId="7B63C8AE"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1,518</w:t>
            </w:r>
          </w:p>
        </w:tc>
        <w:tc>
          <w:tcPr>
            <w:tcW w:w="1323" w:type="dxa"/>
            <w:tcBorders>
              <w:top w:val="single" w:sz="6" w:space="0" w:color="auto"/>
              <w:left w:val="single" w:sz="6" w:space="0" w:color="auto"/>
              <w:bottom w:val="single" w:sz="6" w:space="0" w:color="auto"/>
              <w:right w:val="single" w:sz="6" w:space="0" w:color="auto"/>
            </w:tcBorders>
          </w:tcPr>
          <w:p w14:paraId="3E16B8C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w:t>
            </w:r>
          </w:p>
        </w:tc>
        <w:tc>
          <w:tcPr>
            <w:tcW w:w="1324" w:type="dxa"/>
            <w:tcBorders>
              <w:top w:val="single" w:sz="6" w:space="0" w:color="auto"/>
              <w:left w:val="single" w:sz="6" w:space="0" w:color="auto"/>
              <w:bottom w:val="single" w:sz="6" w:space="0" w:color="auto"/>
              <w:right w:val="single" w:sz="6" w:space="0" w:color="auto"/>
            </w:tcBorders>
          </w:tcPr>
          <w:p w14:paraId="08BC07B6"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18,527</w:t>
            </w:r>
          </w:p>
        </w:tc>
      </w:tr>
      <w:tr w:rsidR="00132CF4" w:rsidRPr="00392E0D" w14:paraId="23A0F84F"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4BF8BD9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23" w:type="dxa"/>
            <w:tcBorders>
              <w:top w:val="single" w:sz="6" w:space="0" w:color="auto"/>
              <w:left w:val="single" w:sz="6" w:space="0" w:color="auto"/>
              <w:bottom w:val="single" w:sz="6" w:space="0" w:color="auto"/>
              <w:right w:val="single" w:sz="6" w:space="0" w:color="auto"/>
            </w:tcBorders>
          </w:tcPr>
          <w:p w14:paraId="208D845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12,849</w:t>
            </w:r>
          </w:p>
        </w:tc>
        <w:tc>
          <w:tcPr>
            <w:tcW w:w="1323" w:type="dxa"/>
            <w:tcBorders>
              <w:top w:val="single" w:sz="6" w:space="0" w:color="auto"/>
              <w:left w:val="single" w:sz="6" w:space="0" w:color="auto"/>
              <w:bottom w:val="single" w:sz="6" w:space="0" w:color="auto"/>
              <w:right w:val="single" w:sz="6" w:space="0" w:color="auto"/>
            </w:tcBorders>
          </w:tcPr>
          <w:p w14:paraId="701A286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73.7</w:t>
            </w:r>
          </w:p>
        </w:tc>
        <w:tc>
          <w:tcPr>
            <w:tcW w:w="1323" w:type="dxa"/>
            <w:tcBorders>
              <w:top w:val="single" w:sz="6" w:space="0" w:color="auto"/>
              <w:left w:val="single" w:sz="6" w:space="0" w:color="auto"/>
              <w:bottom w:val="single" w:sz="6" w:space="0" w:color="auto"/>
              <w:right w:val="single" w:sz="6" w:space="0" w:color="auto"/>
            </w:tcBorders>
          </w:tcPr>
          <w:p w14:paraId="368D303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3,038</w:t>
            </w:r>
          </w:p>
        </w:tc>
        <w:tc>
          <w:tcPr>
            <w:tcW w:w="1323" w:type="dxa"/>
            <w:tcBorders>
              <w:top w:val="single" w:sz="6" w:space="0" w:color="auto"/>
              <w:left w:val="single" w:sz="6" w:space="0" w:color="auto"/>
              <w:bottom w:val="single" w:sz="6" w:space="0" w:color="auto"/>
              <w:right w:val="single" w:sz="6" w:space="0" w:color="auto"/>
            </w:tcBorders>
          </w:tcPr>
          <w:p w14:paraId="617E9EF1"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17.4</w:t>
            </w:r>
          </w:p>
        </w:tc>
        <w:tc>
          <w:tcPr>
            <w:tcW w:w="1323" w:type="dxa"/>
            <w:tcBorders>
              <w:top w:val="single" w:sz="6" w:space="0" w:color="auto"/>
              <w:left w:val="single" w:sz="6" w:space="0" w:color="auto"/>
              <w:bottom w:val="single" w:sz="6" w:space="0" w:color="auto"/>
              <w:right w:val="single" w:sz="6" w:space="0" w:color="auto"/>
            </w:tcBorders>
          </w:tcPr>
          <w:p w14:paraId="51A466E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1,552</w:t>
            </w:r>
          </w:p>
        </w:tc>
        <w:tc>
          <w:tcPr>
            <w:tcW w:w="1323" w:type="dxa"/>
            <w:tcBorders>
              <w:top w:val="single" w:sz="6" w:space="0" w:color="auto"/>
              <w:left w:val="single" w:sz="6" w:space="0" w:color="auto"/>
              <w:bottom w:val="single" w:sz="6" w:space="0" w:color="auto"/>
              <w:right w:val="single" w:sz="6" w:space="0" w:color="auto"/>
            </w:tcBorders>
          </w:tcPr>
          <w:p w14:paraId="2B0CA694"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c>
          <w:tcPr>
            <w:tcW w:w="1324" w:type="dxa"/>
            <w:tcBorders>
              <w:top w:val="single" w:sz="6" w:space="0" w:color="auto"/>
              <w:left w:val="single" w:sz="6" w:space="0" w:color="auto"/>
              <w:bottom w:val="single" w:sz="6" w:space="0" w:color="auto"/>
              <w:right w:val="single" w:sz="6" w:space="0" w:color="auto"/>
            </w:tcBorders>
          </w:tcPr>
          <w:p w14:paraId="1F5F3C82"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17,439</w:t>
            </w:r>
          </w:p>
        </w:tc>
      </w:tr>
      <w:tr w:rsidR="00132CF4" w:rsidRPr="00392E0D" w14:paraId="57F1E9C8" w14:textId="77777777" w:rsidTr="00E34683">
        <w:trPr>
          <w:trHeight w:val="287"/>
        </w:trPr>
        <w:tc>
          <w:tcPr>
            <w:tcW w:w="974" w:type="dxa"/>
            <w:tcBorders>
              <w:top w:val="single" w:sz="6" w:space="0" w:color="auto"/>
              <w:left w:val="single" w:sz="6" w:space="0" w:color="auto"/>
              <w:bottom w:val="single" w:sz="6" w:space="0" w:color="auto"/>
              <w:right w:val="single" w:sz="6" w:space="0" w:color="auto"/>
            </w:tcBorders>
          </w:tcPr>
          <w:p w14:paraId="7162A13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23" w:type="dxa"/>
            <w:tcBorders>
              <w:top w:val="single" w:sz="6" w:space="0" w:color="auto"/>
              <w:left w:val="single" w:sz="6" w:space="0" w:color="auto"/>
              <w:bottom w:val="single" w:sz="6" w:space="0" w:color="auto"/>
              <w:right w:val="single" w:sz="6" w:space="0" w:color="auto"/>
            </w:tcBorders>
          </w:tcPr>
          <w:p w14:paraId="6FCF0BB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11,352</w:t>
            </w:r>
          </w:p>
        </w:tc>
        <w:tc>
          <w:tcPr>
            <w:tcW w:w="1323" w:type="dxa"/>
            <w:tcBorders>
              <w:top w:val="single" w:sz="6" w:space="0" w:color="auto"/>
              <w:left w:val="single" w:sz="6" w:space="0" w:color="auto"/>
              <w:bottom w:val="single" w:sz="6" w:space="0" w:color="auto"/>
              <w:right w:val="single" w:sz="6" w:space="0" w:color="auto"/>
            </w:tcBorders>
          </w:tcPr>
          <w:p w14:paraId="7500BAB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75.4</w:t>
            </w:r>
          </w:p>
        </w:tc>
        <w:tc>
          <w:tcPr>
            <w:tcW w:w="1323" w:type="dxa"/>
            <w:tcBorders>
              <w:top w:val="single" w:sz="6" w:space="0" w:color="auto"/>
              <w:left w:val="single" w:sz="6" w:space="0" w:color="auto"/>
              <w:bottom w:val="single" w:sz="6" w:space="0" w:color="auto"/>
              <w:right w:val="single" w:sz="6" w:space="0" w:color="auto"/>
            </w:tcBorders>
          </w:tcPr>
          <w:p w14:paraId="38075BCA"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2,509</w:t>
            </w:r>
          </w:p>
        </w:tc>
        <w:tc>
          <w:tcPr>
            <w:tcW w:w="1323" w:type="dxa"/>
            <w:tcBorders>
              <w:top w:val="single" w:sz="6" w:space="0" w:color="auto"/>
              <w:left w:val="single" w:sz="6" w:space="0" w:color="auto"/>
              <w:bottom w:val="single" w:sz="6" w:space="0" w:color="auto"/>
              <w:right w:val="single" w:sz="6" w:space="0" w:color="auto"/>
            </w:tcBorders>
          </w:tcPr>
          <w:p w14:paraId="0D592A7B"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16.7</w:t>
            </w:r>
          </w:p>
        </w:tc>
        <w:tc>
          <w:tcPr>
            <w:tcW w:w="1323" w:type="dxa"/>
            <w:tcBorders>
              <w:top w:val="single" w:sz="6" w:space="0" w:color="auto"/>
              <w:left w:val="single" w:sz="6" w:space="0" w:color="auto"/>
              <w:bottom w:val="single" w:sz="6" w:space="0" w:color="auto"/>
              <w:right w:val="single" w:sz="6" w:space="0" w:color="auto"/>
            </w:tcBorders>
          </w:tcPr>
          <w:p w14:paraId="30BF58D9"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1,200</w:t>
            </w:r>
          </w:p>
        </w:tc>
        <w:tc>
          <w:tcPr>
            <w:tcW w:w="1323" w:type="dxa"/>
            <w:tcBorders>
              <w:top w:val="single" w:sz="6" w:space="0" w:color="auto"/>
              <w:left w:val="single" w:sz="6" w:space="0" w:color="auto"/>
              <w:bottom w:val="single" w:sz="6" w:space="0" w:color="auto"/>
              <w:right w:val="single" w:sz="6" w:space="0" w:color="auto"/>
            </w:tcBorders>
          </w:tcPr>
          <w:p w14:paraId="37C03E18"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w:t>
            </w:r>
          </w:p>
        </w:tc>
        <w:tc>
          <w:tcPr>
            <w:tcW w:w="1324" w:type="dxa"/>
            <w:tcBorders>
              <w:top w:val="single" w:sz="6" w:space="0" w:color="auto"/>
              <w:left w:val="single" w:sz="6" w:space="0" w:color="auto"/>
              <w:bottom w:val="single" w:sz="6" w:space="0" w:color="auto"/>
              <w:right w:val="single" w:sz="6" w:space="0" w:color="auto"/>
            </w:tcBorders>
          </w:tcPr>
          <w:p w14:paraId="651B0093" w14:textId="77777777" w:rsidR="00132CF4" w:rsidRPr="00392E0D" w:rsidRDefault="00132CF4" w:rsidP="00132CF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15,061</w:t>
            </w:r>
          </w:p>
        </w:tc>
      </w:tr>
    </w:tbl>
    <w:p w14:paraId="58DB2BF5" w14:textId="14CD36B0" w:rsidR="00E34683" w:rsidRPr="00392E0D" w:rsidRDefault="00E34683" w:rsidP="00132CF4">
      <w:pPr>
        <w:pStyle w:val="Body"/>
        <w:spacing w:before="60" w:after="60" w:line="240" w:lineRule="auto"/>
        <w:rPr>
          <w:rFonts w:cs="Arial"/>
          <w:sz w:val="20"/>
        </w:rPr>
      </w:pPr>
    </w:p>
    <w:p w14:paraId="1FB7A820" w14:textId="77777777" w:rsidR="00E34683" w:rsidRPr="00392E0D" w:rsidRDefault="00E34683">
      <w:pPr>
        <w:widowControl/>
        <w:autoSpaceDE/>
        <w:autoSpaceDN/>
        <w:rPr>
          <w:rFonts w:ascii="Arial" w:eastAsia="Times New Roman" w:hAnsi="Arial" w:cs="Arial"/>
          <w:sz w:val="20"/>
          <w:szCs w:val="20"/>
        </w:rPr>
      </w:pPr>
      <w:r w:rsidRPr="00392E0D">
        <w:rPr>
          <w:rFonts w:ascii="Arial" w:hAnsi="Arial" w:cs="Arial"/>
          <w:sz w:val="20"/>
        </w:rPr>
        <w:br w:type="page"/>
      </w:r>
    </w:p>
    <w:p w14:paraId="27A234B8" w14:textId="64B6C26D" w:rsidR="00132CF4" w:rsidRPr="00392E0D" w:rsidRDefault="00C50A05" w:rsidP="00C50A05">
      <w:pPr>
        <w:pStyle w:val="Heading2"/>
        <w:rPr>
          <w:rFonts w:cs="Arial"/>
        </w:rPr>
      </w:pPr>
      <w:r w:rsidRPr="00392E0D">
        <w:rPr>
          <w:rFonts w:cs="Arial"/>
        </w:rPr>
        <w:lastRenderedPageBreak/>
        <w:t>Western Australia trends</w:t>
      </w:r>
    </w:p>
    <w:p w14:paraId="183AAAB6" w14:textId="67301500" w:rsidR="00C50A05" w:rsidRPr="00392E0D" w:rsidRDefault="00C50A05" w:rsidP="00C50A0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80</w:t>
      </w:r>
      <w:r w:rsidRPr="00392E0D">
        <w:rPr>
          <w:rFonts w:cs="Arial"/>
        </w:rPr>
        <w:fldChar w:fldCharType="end"/>
      </w:r>
      <w:r w:rsidRPr="00392E0D">
        <w:rPr>
          <w:rFonts w:cs="Arial"/>
        </w:rPr>
        <w:tab/>
      </w:r>
      <w:r w:rsidRPr="00392E0D">
        <w:rPr>
          <w:rFonts w:eastAsiaTheme="minorHAnsi" w:cs="Arial"/>
          <w:lang w:val="en-AU"/>
        </w:rPr>
        <w:t>Western Australia trends (2009 – 2021) – Developmentally vulnerable on one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C50A05" w:rsidRPr="00392E0D" w14:paraId="74F6E615"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1EA95DA3" w14:textId="77777777" w:rsidR="00C50A05" w:rsidRPr="00392E0D" w:rsidRDefault="00C50A05" w:rsidP="000332EB">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6279FA19" w14:textId="0F87BCD6"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7C7C80A6" w14:textId="7441B6BF" w:rsidR="00C50A05" w:rsidRPr="00392E0D" w:rsidRDefault="00513B7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4F604BE7" w14:textId="4C55AAE4"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C50A05" w:rsidRPr="00392E0D" w14:paraId="4D0CBA80"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3EE5AA7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0BC9745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6,852</w:t>
            </w:r>
          </w:p>
        </w:tc>
        <w:tc>
          <w:tcPr>
            <w:tcW w:w="974" w:type="dxa"/>
            <w:tcBorders>
              <w:top w:val="single" w:sz="6" w:space="0" w:color="auto"/>
              <w:left w:val="single" w:sz="6" w:space="0" w:color="auto"/>
              <w:bottom w:val="single" w:sz="6" w:space="0" w:color="auto"/>
              <w:right w:val="single" w:sz="6" w:space="0" w:color="auto"/>
            </w:tcBorders>
          </w:tcPr>
          <w:p w14:paraId="4A820B8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20.3</w:t>
            </w:r>
          </w:p>
        </w:tc>
        <w:tc>
          <w:tcPr>
            <w:tcW w:w="975" w:type="dxa"/>
            <w:tcBorders>
              <w:top w:val="single" w:sz="6" w:space="0" w:color="auto"/>
              <w:left w:val="single" w:sz="6" w:space="0" w:color="auto"/>
              <w:bottom w:val="single" w:sz="6" w:space="0" w:color="auto"/>
              <w:right w:val="single" w:sz="6" w:space="0" w:color="auto"/>
            </w:tcBorders>
          </w:tcPr>
          <w:p w14:paraId="7A00D13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33,716</w:t>
            </w:r>
          </w:p>
        </w:tc>
      </w:tr>
      <w:tr w:rsidR="00C50A05" w:rsidRPr="00392E0D" w14:paraId="427B11E7"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7C5B8FD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5FAA5F6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6,369</w:t>
            </w:r>
          </w:p>
        </w:tc>
        <w:tc>
          <w:tcPr>
            <w:tcW w:w="974" w:type="dxa"/>
            <w:tcBorders>
              <w:top w:val="single" w:sz="6" w:space="0" w:color="auto"/>
              <w:left w:val="single" w:sz="6" w:space="0" w:color="auto"/>
              <w:bottom w:val="single" w:sz="6" w:space="0" w:color="auto"/>
              <w:right w:val="single" w:sz="6" w:space="0" w:color="auto"/>
            </w:tcBorders>
          </w:tcPr>
          <w:p w14:paraId="261A0DA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19.4</w:t>
            </w:r>
          </w:p>
        </w:tc>
        <w:tc>
          <w:tcPr>
            <w:tcW w:w="975" w:type="dxa"/>
            <w:tcBorders>
              <w:top w:val="single" w:sz="6" w:space="0" w:color="auto"/>
              <w:left w:val="single" w:sz="6" w:space="0" w:color="auto"/>
              <w:bottom w:val="single" w:sz="6" w:space="0" w:color="auto"/>
              <w:right w:val="single" w:sz="6" w:space="0" w:color="auto"/>
            </w:tcBorders>
          </w:tcPr>
          <w:p w14:paraId="508A1AA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32,798</w:t>
            </w:r>
          </w:p>
        </w:tc>
      </w:tr>
      <w:tr w:rsidR="00C50A05" w:rsidRPr="00392E0D" w14:paraId="01CC3691"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066AA04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4392FFE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6,895</w:t>
            </w:r>
          </w:p>
        </w:tc>
        <w:tc>
          <w:tcPr>
            <w:tcW w:w="974" w:type="dxa"/>
            <w:tcBorders>
              <w:top w:val="single" w:sz="6" w:space="0" w:color="auto"/>
              <w:left w:val="single" w:sz="6" w:space="0" w:color="auto"/>
              <w:bottom w:val="single" w:sz="6" w:space="0" w:color="auto"/>
              <w:right w:val="single" w:sz="6" w:space="0" w:color="auto"/>
            </w:tcBorders>
          </w:tcPr>
          <w:p w14:paraId="797051C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21.3</w:t>
            </w:r>
          </w:p>
        </w:tc>
        <w:tc>
          <w:tcPr>
            <w:tcW w:w="975" w:type="dxa"/>
            <w:tcBorders>
              <w:top w:val="single" w:sz="6" w:space="0" w:color="auto"/>
              <w:left w:val="single" w:sz="6" w:space="0" w:color="auto"/>
              <w:bottom w:val="single" w:sz="6" w:space="0" w:color="auto"/>
              <w:right w:val="single" w:sz="6" w:space="0" w:color="auto"/>
            </w:tcBorders>
          </w:tcPr>
          <w:p w14:paraId="64FD373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32,373</w:t>
            </w:r>
          </w:p>
        </w:tc>
      </w:tr>
      <w:tr w:rsidR="00C50A05" w:rsidRPr="00392E0D" w14:paraId="7EAF7DCE"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12560AE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09EC280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7,048</w:t>
            </w:r>
          </w:p>
        </w:tc>
        <w:tc>
          <w:tcPr>
            <w:tcW w:w="974" w:type="dxa"/>
            <w:tcBorders>
              <w:top w:val="single" w:sz="6" w:space="0" w:color="auto"/>
              <w:left w:val="single" w:sz="6" w:space="0" w:color="auto"/>
              <w:bottom w:val="single" w:sz="6" w:space="0" w:color="auto"/>
              <w:right w:val="single" w:sz="6" w:space="0" w:color="auto"/>
            </w:tcBorders>
          </w:tcPr>
          <w:p w14:paraId="43C8F15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23.0</w:t>
            </w:r>
          </w:p>
        </w:tc>
        <w:tc>
          <w:tcPr>
            <w:tcW w:w="975" w:type="dxa"/>
            <w:tcBorders>
              <w:top w:val="single" w:sz="6" w:space="0" w:color="auto"/>
              <w:left w:val="single" w:sz="6" w:space="0" w:color="auto"/>
              <w:bottom w:val="single" w:sz="6" w:space="0" w:color="auto"/>
              <w:right w:val="single" w:sz="6" w:space="0" w:color="auto"/>
            </w:tcBorders>
          </w:tcPr>
          <w:p w14:paraId="0EE0153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30,631</w:t>
            </w:r>
          </w:p>
        </w:tc>
      </w:tr>
      <w:tr w:rsidR="00C50A05" w:rsidRPr="00392E0D" w14:paraId="627595F9"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2D7A370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449DF6A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6,445</w:t>
            </w:r>
          </w:p>
        </w:tc>
        <w:tc>
          <w:tcPr>
            <w:tcW w:w="974" w:type="dxa"/>
            <w:tcBorders>
              <w:top w:val="single" w:sz="6" w:space="0" w:color="auto"/>
              <w:left w:val="single" w:sz="6" w:space="0" w:color="auto"/>
              <w:bottom w:val="single" w:sz="6" w:space="0" w:color="auto"/>
              <w:right w:val="single" w:sz="6" w:space="0" w:color="auto"/>
            </w:tcBorders>
          </w:tcPr>
          <w:p w14:paraId="7B0C998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24.7</w:t>
            </w:r>
          </w:p>
        </w:tc>
        <w:tc>
          <w:tcPr>
            <w:tcW w:w="975" w:type="dxa"/>
            <w:tcBorders>
              <w:top w:val="single" w:sz="6" w:space="0" w:color="auto"/>
              <w:left w:val="single" w:sz="6" w:space="0" w:color="auto"/>
              <w:bottom w:val="single" w:sz="6" w:space="0" w:color="auto"/>
              <w:right w:val="single" w:sz="6" w:space="0" w:color="auto"/>
            </w:tcBorders>
          </w:tcPr>
          <w:p w14:paraId="2D6B55C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26,052</w:t>
            </w:r>
          </w:p>
        </w:tc>
      </w:tr>
    </w:tbl>
    <w:p w14:paraId="47B9DA6F" w14:textId="3C244816" w:rsidR="00C50A05" w:rsidRPr="00392E0D" w:rsidRDefault="00C50A05" w:rsidP="00C50A0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81</w:t>
      </w:r>
      <w:r w:rsidRPr="00392E0D">
        <w:rPr>
          <w:rFonts w:cs="Arial"/>
        </w:rPr>
        <w:fldChar w:fldCharType="end"/>
      </w:r>
      <w:r w:rsidRPr="00392E0D">
        <w:rPr>
          <w:rFonts w:cs="Arial"/>
        </w:rPr>
        <w:tab/>
      </w:r>
      <w:r w:rsidRPr="00392E0D">
        <w:rPr>
          <w:rFonts w:eastAsiaTheme="minorHAnsi" w:cs="Arial"/>
          <w:lang w:val="en-AU"/>
        </w:rPr>
        <w:t>Western Australia trends (2009 – 2021) – Developmentally vulnerable on two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C50A05" w:rsidRPr="00392E0D" w14:paraId="78FD6562"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116477ED" w14:textId="77777777" w:rsidR="00C50A05" w:rsidRPr="00392E0D" w:rsidRDefault="00C50A05" w:rsidP="000332EB">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5659739F" w14:textId="4B629E1A"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40B58144" w14:textId="3A1A4F77" w:rsidR="00C50A05" w:rsidRPr="00392E0D" w:rsidRDefault="00513B7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0E2CD3C4" w14:textId="7BC7E692"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C50A05" w:rsidRPr="00392E0D" w14:paraId="1E399FF3"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2C276C0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7F68BD2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3,457</w:t>
            </w:r>
          </w:p>
        </w:tc>
        <w:tc>
          <w:tcPr>
            <w:tcW w:w="974" w:type="dxa"/>
            <w:tcBorders>
              <w:top w:val="single" w:sz="6" w:space="0" w:color="auto"/>
              <w:left w:val="single" w:sz="6" w:space="0" w:color="auto"/>
              <w:bottom w:val="single" w:sz="6" w:space="0" w:color="auto"/>
              <w:right w:val="single" w:sz="6" w:space="0" w:color="auto"/>
            </w:tcBorders>
          </w:tcPr>
          <w:p w14:paraId="702E901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10.2</w:t>
            </w:r>
          </w:p>
        </w:tc>
        <w:tc>
          <w:tcPr>
            <w:tcW w:w="975" w:type="dxa"/>
            <w:tcBorders>
              <w:top w:val="single" w:sz="6" w:space="0" w:color="auto"/>
              <w:left w:val="single" w:sz="6" w:space="0" w:color="auto"/>
              <w:bottom w:val="single" w:sz="6" w:space="0" w:color="auto"/>
              <w:right w:val="single" w:sz="6" w:space="0" w:color="auto"/>
            </w:tcBorders>
          </w:tcPr>
          <w:p w14:paraId="455A77E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33,782</w:t>
            </w:r>
          </w:p>
        </w:tc>
      </w:tr>
      <w:tr w:rsidR="00C50A05" w:rsidRPr="00392E0D" w14:paraId="00970410"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23B9E15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2D071CC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3,086</w:t>
            </w:r>
          </w:p>
        </w:tc>
        <w:tc>
          <w:tcPr>
            <w:tcW w:w="974" w:type="dxa"/>
            <w:tcBorders>
              <w:top w:val="single" w:sz="6" w:space="0" w:color="auto"/>
              <w:left w:val="single" w:sz="6" w:space="0" w:color="auto"/>
              <w:bottom w:val="single" w:sz="6" w:space="0" w:color="auto"/>
              <w:right w:val="single" w:sz="6" w:space="0" w:color="auto"/>
            </w:tcBorders>
          </w:tcPr>
          <w:p w14:paraId="04E6D08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w:t>
            </w:r>
          </w:p>
        </w:tc>
        <w:tc>
          <w:tcPr>
            <w:tcW w:w="975" w:type="dxa"/>
            <w:tcBorders>
              <w:top w:val="single" w:sz="6" w:space="0" w:color="auto"/>
              <w:left w:val="single" w:sz="6" w:space="0" w:color="auto"/>
              <w:bottom w:val="single" w:sz="6" w:space="0" w:color="auto"/>
              <w:right w:val="single" w:sz="6" w:space="0" w:color="auto"/>
            </w:tcBorders>
          </w:tcPr>
          <w:p w14:paraId="25DAE8F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32,880</w:t>
            </w:r>
          </w:p>
        </w:tc>
      </w:tr>
      <w:tr w:rsidR="00C50A05" w:rsidRPr="00392E0D" w14:paraId="6296FEC3"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3C83789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1AB6C54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3,403</w:t>
            </w:r>
          </w:p>
        </w:tc>
        <w:tc>
          <w:tcPr>
            <w:tcW w:w="974" w:type="dxa"/>
            <w:tcBorders>
              <w:top w:val="single" w:sz="6" w:space="0" w:color="auto"/>
              <w:left w:val="single" w:sz="6" w:space="0" w:color="auto"/>
              <w:bottom w:val="single" w:sz="6" w:space="0" w:color="auto"/>
              <w:right w:val="single" w:sz="6" w:space="0" w:color="auto"/>
            </w:tcBorders>
          </w:tcPr>
          <w:p w14:paraId="70B9FF9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c>
          <w:tcPr>
            <w:tcW w:w="975" w:type="dxa"/>
            <w:tcBorders>
              <w:top w:val="single" w:sz="6" w:space="0" w:color="auto"/>
              <w:left w:val="single" w:sz="6" w:space="0" w:color="auto"/>
              <w:bottom w:val="single" w:sz="6" w:space="0" w:color="auto"/>
              <w:right w:val="single" w:sz="6" w:space="0" w:color="auto"/>
            </w:tcBorders>
          </w:tcPr>
          <w:p w14:paraId="2A90224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32,478</w:t>
            </w:r>
          </w:p>
        </w:tc>
      </w:tr>
      <w:tr w:rsidR="00C50A05" w:rsidRPr="00392E0D" w14:paraId="37BFAF35"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55B86AB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1EE39DB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3,449</w:t>
            </w:r>
          </w:p>
        </w:tc>
        <w:tc>
          <w:tcPr>
            <w:tcW w:w="974" w:type="dxa"/>
            <w:tcBorders>
              <w:top w:val="single" w:sz="6" w:space="0" w:color="auto"/>
              <w:left w:val="single" w:sz="6" w:space="0" w:color="auto"/>
              <w:bottom w:val="single" w:sz="6" w:space="0" w:color="auto"/>
              <w:right w:val="single" w:sz="6" w:space="0" w:color="auto"/>
            </w:tcBorders>
          </w:tcPr>
          <w:p w14:paraId="1D26532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11.2</w:t>
            </w:r>
          </w:p>
        </w:tc>
        <w:tc>
          <w:tcPr>
            <w:tcW w:w="975" w:type="dxa"/>
            <w:tcBorders>
              <w:top w:val="single" w:sz="6" w:space="0" w:color="auto"/>
              <w:left w:val="single" w:sz="6" w:space="0" w:color="auto"/>
              <w:bottom w:val="single" w:sz="6" w:space="0" w:color="auto"/>
              <w:right w:val="single" w:sz="6" w:space="0" w:color="auto"/>
            </w:tcBorders>
          </w:tcPr>
          <w:p w14:paraId="625067D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30,770</w:t>
            </w:r>
          </w:p>
        </w:tc>
      </w:tr>
      <w:tr w:rsidR="00C50A05" w:rsidRPr="00392E0D" w14:paraId="0D182CB2" w14:textId="77777777" w:rsidTr="00C50A05">
        <w:trPr>
          <w:trHeight w:val="296"/>
        </w:trPr>
        <w:tc>
          <w:tcPr>
            <w:tcW w:w="974" w:type="dxa"/>
            <w:tcBorders>
              <w:top w:val="single" w:sz="6" w:space="0" w:color="auto"/>
              <w:left w:val="single" w:sz="6" w:space="0" w:color="auto"/>
              <w:bottom w:val="single" w:sz="6" w:space="0" w:color="auto"/>
              <w:right w:val="single" w:sz="6" w:space="0" w:color="auto"/>
            </w:tcBorders>
          </w:tcPr>
          <w:p w14:paraId="4FB1501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05A089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3,177</w:t>
            </w:r>
          </w:p>
        </w:tc>
        <w:tc>
          <w:tcPr>
            <w:tcW w:w="974" w:type="dxa"/>
            <w:tcBorders>
              <w:top w:val="single" w:sz="6" w:space="0" w:color="auto"/>
              <w:left w:val="single" w:sz="6" w:space="0" w:color="auto"/>
              <w:bottom w:val="single" w:sz="6" w:space="0" w:color="auto"/>
              <w:right w:val="single" w:sz="6" w:space="0" w:color="auto"/>
            </w:tcBorders>
          </w:tcPr>
          <w:p w14:paraId="7907CC2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12.2</w:t>
            </w:r>
          </w:p>
        </w:tc>
        <w:tc>
          <w:tcPr>
            <w:tcW w:w="975" w:type="dxa"/>
            <w:tcBorders>
              <w:top w:val="single" w:sz="6" w:space="0" w:color="auto"/>
              <w:left w:val="single" w:sz="6" w:space="0" w:color="auto"/>
              <w:bottom w:val="single" w:sz="6" w:space="0" w:color="auto"/>
              <w:right w:val="single" w:sz="6" w:space="0" w:color="auto"/>
            </w:tcBorders>
          </w:tcPr>
          <w:p w14:paraId="3B303C2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26,091</w:t>
            </w:r>
          </w:p>
        </w:tc>
      </w:tr>
    </w:tbl>
    <w:p w14:paraId="59EECA98" w14:textId="0272037E" w:rsidR="00C50A05" w:rsidRPr="00392E0D" w:rsidRDefault="00C50A05" w:rsidP="00C50A0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82</w:t>
      </w:r>
      <w:r w:rsidRPr="00392E0D">
        <w:rPr>
          <w:rFonts w:cs="Arial"/>
        </w:rPr>
        <w:fldChar w:fldCharType="end"/>
      </w:r>
      <w:r w:rsidRPr="00392E0D">
        <w:rPr>
          <w:rFonts w:cs="Arial"/>
        </w:rPr>
        <w:tab/>
      </w:r>
      <w:r w:rsidRPr="00392E0D">
        <w:rPr>
          <w:rFonts w:eastAsiaTheme="minorHAnsi" w:cs="Arial"/>
          <w:lang w:val="en-AU"/>
        </w:rPr>
        <w:t>Western Australia trends (2009 – 2021) – Developmentally on track on five domains</w:t>
      </w:r>
    </w:p>
    <w:tbl>
      <w:tblPr>
        <w:tblW w:w="0" w:type="auto"/>
        <w:tblInd w:w="-38" w:type="dxa"/>
        <w:tblLayout w:type="fixed"/>
        <w:tblLook w:val="0000" w:firstRow="0" w:lastRow="0" w:firstColumn="0" w:lastColumn="0" w:noHBand="0" w:noVBand="0"/>
      </w:tblPr>
      <w:tblGrid>
        <w:gridCol w:w="974"/>
        <w:gridCol w:w="975"/>
        <w:gridCol w:w="974"/>
        <w:gridCol w:w="975"/>
      </w:tblGrid>
      <w:tr w:rsidR="00C50A05" w:rsidRPr="00392E0D" w14:paraId="1710A946" w14:textId="77777777" w:rsidTr="004347F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437CEAF0" w14:textId="77777777" w:rsidR="00C50A05" w:rsidRPr="00392E0D" w:rsidRDefault="00C50A05" w:rsidP="000332EB">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2A4DC47E" w14:textId="4D113966"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0477DE4F" w14:textId="7DF0CC4E" w:rsidR="00C50A05" w:rsidRPr="00392E0D" w:rsidRDefault="00513B7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05982996" w14:textId="0325CC7C"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C50A05" w:rsidRPr="00392E0D" w14:paraId="7E884E25"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753A9C5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648CEBD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19,424</w:t>
            </w:r>
          </w:p>
        </w:tc>
        <w:tc>
          <w:tcPr>
            <w:tcW w:w="974" w:type="dxa"/>
            <w:tcBorders>
              <w:top w:val="single" w:sz="6" w:space="0" w:color="auto"/>
              <w:left w:val="single" w:sz="6" w:space="0" w:color="auto"/>
              <w:bottom w:val="single" w:sz="6" w:space="0" w:color="auto"/>
              <w:right w:val="single" w:sz="6" w:space="0" w:color="auto"/>
            </w:tcBorders>
          </w:tcPr>
          <w:p w14:paraId="0D401AA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57.5</w:t>
            </w:r>
          </w:p>
        </w:tc>
        <w:tc>
          <w:tcPr>
            <w:tcW w:w="975" w:type="dxa"/>
            <w:tcBorders>
              <w:top w:val="single" w:sz="6" w:space="0" w:color="auto"/>
              <w:left w:val="single" w:sz="6" w:space="0" w:color="auto"/>
              <w:bottom w:val="single" w:sz="6" w:space="0" w:color="auto"/>
              <w:right w:val="single" w:sz="6" w:space="0" w:color="auto"/>
            </w:tcBorders>
          </w:tcPr>
          <w:p w14:paraId="6F4A5A9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33,756</w:t>
            </w:r>
          </w:p>
        </w:tc>
      </w:tr>
      <w:tr w:rsidR="00C50A05" w:rsidRPr="00392E0D" w14:paraId="1B317718"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4E2ACF3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5B5C288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19,056</w:t>
            </w:r>
          </w:p>
        </w:tc>
        <w:tc>
          <w:tcPr>
            <w:tcW w:w="974" w:type="dxa"/>
            <w:tcBorders>
              <w:top w:val="single" w:sz="6" w:space="0" w:color="auto"/>
              <w:left w:val="single" w:sz="6" w:space="0" w:color="auto"/>
              <w:bottom w:val="single" w:sz="6" w:space="0" w:color="auto"/>
              <w:right w:val="single" w:sz="6" w:space="0" w:color="auto"/>
            </w:tcBorders>
          </w:tcPr>
          <w:p w14:paraId="798AA73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58.0</w:t>
            </w:r>
          </w:p>
        </w:tc>
        <w:tc>
          <w:tcPr>
            <w:tcW w:w="975" w:type="dxa"/>
            <w:tcBorders>
              <w:top w:val="single" w:sz="6" w:space="0" w:color="auto"/>
              <w:left w:val="single" w:sz="6" w:space="0" w:color="auto"/>
              <w:bottom w:val="single" w:sz="6" w:space="0" w:color="auto"/>
              <w:right w:val="single" w:sz="6" w:space="0" w:color="auto"/>
            </w:tcBorders>
          </w:tcPr>
          <w:p w14:paraId="573CE3D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32,841</w:t>
            </w:r>
          </w:p>
        </w:tc>
      </w:tr>
      <w:tr w:rsidR="00C50A05" w:rsidRPr="00392E0D" w14:paraId="286AEF33"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53B28FE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0446CBD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17,938</w:t>
            </w:r>
          </w:p>
        </w:tc>
        <w:tc>
          <w:tcPr>
            <w:tcW w:w="974" w:type="dxa"/>
            <w:tcBorders>
              <w:top w:val="single" w:sz="6" w:space="0" w:color="auto"/>
              <w:left w:val="single" w:sz="6" w:space="0" w:color="auto"/>
              <w:bottom w:val="single" w:sz="6" w:space="0" w:color="auto"/>
              <w:right w:val="single" w:sz="6" w:space="0" w:color="auto"/>
            </w:tcBorders>
          </w:tcPr>
          <w:p w14:paraId="2B06987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55.3</w:t>
            </w:r>
          </w:p>
        </w:tc>
        <w:tc>
          <w:tcPr>
            <w:tcW w:w="975" w:type="dxa"/>
            <w:tcBorders>
              <w:top w:val="single" w:sz="6" w:space="0" w:color="auto"/>
              <w:left w:val="single" w:sz="6" w:space="0" w:color="auto"/>
              <w:bottom w:val="single" w:sz="6" w:space="0" w:color="auto"/>
              <w:right w:val="single" w:sz="6" w:space="0" w:color="auto"/>
            </w:tcBorders>
          </w:tcPr>
          <w:p w14:paraId="3713471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32,421</w:t>
            </w:r>
          </w:p>
        </w:tc>
      </w:tr>
      <w:tr w:rsidR="00C50A05" w:rsidRPr="00392E0D" w14:paraId="00C4C3E6"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29674FB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7B6A17A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15,633</w:t>
            </w:r>
          </w:p>
        </w:tc>
        <w:tc>
          <w:tcPr>
            <w:tcW w:w="974" w:type="dxa"/>
            <w:tcBorders>
              <w:top w:val="single" w:sz="6" w:space="0" w:color="auto"/>
              <w:left w:val="single" w:sz="6" w:space="0" w:color="auto"/>
              <w:bottom w:val="single" w:sz="6" w:space="0" w:color="auto"/>
              <w:right w:val="single" w:sz="6" w:space="0" w:color="auto"/>
            </w:tcBorders>
          </w:tcPr>
          <w:p w14:paraId="301ABC1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50.9</w:t>
            </w:r>
          </w:p>
        </w:tc>
        <w:tc>
          <w:tcPr>
            <w:tcW w:w="975" w:type="dxa"/>
            <w:tcBorders>
              <w:top w:val="single" w:sz="6" w:space="0" w:color="auto"/>
              <w:left w:val="single" w:sz="6" w:space="0" w:color="auto"/>
              <w:bottom w:val="single" w:sz="6" w:space="0" w:color="auto"/>
              <w:right w:val="single" w:sz="6" w:space="0" w:color="auto"/>
            </w:tcBorders>
          </w:tcPr>
          <w:p w14:paraId="0CAE5E0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30,727</w:t>
            </w:r>
          </w:p>
        </w:tc>
      </w:tr>
      <w:tr w:rsidR="00C50A05" w:rsidRPr="00392E0D" w14:paraId="7DF395E2" w14:textId="77777777" w:rsidTr="00C50A05">
        <w:trPr>
          <w:trHeight w:val="287"/>
        </w:trPr>
        <w:tc>
          <w:tcPr>
            <w:tcW w:w="974" w:type="dxa"/>
            <w:tcBorders>
              <w:top w:val="single" w:sz="6" w:space="0" w:color="auto"/>
              <w:left w:val="single" w:sz="6" w:space="0" w:color="auto"/>
              <w:bottom w:val="single" w:sz="6" w:space="0" w:color="auto"/>
              <w:right w:val="single" w:sz="6" w:space="0" w:color="auto"/>
            </w:tcBorders>
          </w:tcPr>
          <w:p w14:paraId="179C0D6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58BBAAE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12,130</w:t>
            </w:r>
          </w:p>
        </w:tc>
        <w:tc>
          <w:tcPr>
            <w:tcW w:w="974" w:type="dxa"/>
            <w:tcBorders>
              <w:top w:val="single" w:sz="6" w:space="0" w:color="auto"/>
              <w:left w:val="single" w:sz="6" w:space="0" w:color="auto"/>
              <w:bottom w:val="single" w:sz="6" w:space="0" w:color="auto"/>
              <w:right w:val="single" w:sz="6" w:space="0" w:color="auto"/>
            </w:tcBorders>
          </w:tcPr>
          <w:p w14:paraId="3298F80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46.5</w:t>
            </w:r>
          </w:p>
        </w:tc>
        <w:tc>
          <w:tcPr>
            <w:tcW w:w="975" w:type="dxa"/>
            <w:tcBorders>
              <w:top w:val="single" w:sz="6" w:space="0" w:color="auto"/>
              <w:left w:val="single" w:sz="6" w:space="0" w:color="auto"/>
              <w:bottom w:val="single" w:sz="6" w:space="0" w:color="auto"/>
              <w:right w:val="single" w:sz="6" w:space="0" w:color="auto"/>
            </w:tcBorders>
          </w:tcPr>
          <w:p w14:paraId="317060C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26,090</w:t>
            </w:r>
          </w:p>
        </w:tc>
      </w:tr>
    </w:tbl>
    <w:p w14:paraId="44D4DE78" w14:textId="70DF131E" w:rsidR="00C50A05" w:rsidRPr="00392E0D" w:rsidRDefault="00C50A05" w:rsidP="00C50A0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83</w:t>
      </w:r>
      <w:r w:rsidRPr="00392E0D">
        <w:rPr>
          <w:rFonts w:cs="Arial"/>
        </w:rPr>
        <w:fldChar w:fldCharType="end"/>
      </w:r>
      <w:r w:rsidRPr="00392E0D">
        <w:rPr>
          <w:rFonts w:cs="Arial"/>
        </w:rPr>
        <w:tab/>
      </w:r>
      <w:r w:rsidRPr="00392E0D">
        <w:rPr>
          <w:rFonts w:eastAsiaTheme="minorHAnsi" w:cs="Arial"/>
          <w:lang w:val="en-AU"/>
        </w:rPr>
        <w:t>Western Australia trends (2009 – 2021) – Physical health and wellbeing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C50A05" w:rsidRPr="00392E0D" w14:paraId="564750AE"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3D745345" w14:textId="77777777" w:rsidR="00C50A05" w:rsidRPr="00392E0D" w:rsidRDefault="00C50A05" w:rsidP="000332EB">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32AB51C3" w14:textId="607F8B6C"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716C7B8E" w14:textId="6B6F3C20"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69CCEEFE" w14:textId="510BA17C"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75F98294" w14:textId="78EEBDFC"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00134EB9" w14:textId="3C264354"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7FBFB27F" w14:textId="31A4B248"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782FA12E" w14:textId="2CED6C13"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C50A05" w:rsidRPr="00392E0D" w14:paraId="611B4353" w14:textId="77777777" w:rsidTr="000332EB">
        <w:trPr>
          <w:trHeight w:val="311"/>
        </w:trPr>
        <w:tc>
          <w:tcPr>
            <w:tcW w:w="974" w:type="dxa"/>
            <w:tcBorders>
              <w:top w:val="single" w:sz="6" w:space="0" w:color="auto"/>
              <w:left w:val="single" w:sz="6" w:space="0" w:color="auto"/>
              <w:bottom w:val="single" w:sz="6" w:space="0" w:color="auto"/>
              <w:right w:val="single" w:sz="6" w:space="0" w:color="auto"/>
            </w:tcBorders>
          </w:tcPr>
          <w:p w14:paraId="08EEFD8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537FEC9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27,225</w:t>
            </w:r>
          </w:p>
        </w:tc>
        <w:tc>
          <w:tcPr>
            <w:tcW w:w="1343" w:type="dxa"/>
            <w:tcBorders>
              <w:top w:val="single" w:sz="6" w:space="0" w:color="auto"/>
              <w:left w:val="single" w:sz="6" w:space="0" w:color="auto"/>
              <w:bottom w:val="single" w:sz="6" w:space="0" w:color="auto"/>
              <w:right w:val="single" w:sz="6" w:space="0" w:color="auto"/>
            </w:tcBorders>
          </w:tcPr>
          <w:p w14:paraId="6DA5506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80.5</w:t>
            </w:r>
          </w:p>
        </w:tc>
        <w:tc>
          <w:tcPr>
            <w:tcW w:w="1344" w:type="dxa"/>
            <w:tcBorders>
              <w:top w:val="single" w:sz="6" w:space="0" w:color="auto"/>
              <w:left w:val="single" w:sz="6" w:space="0" w:color="auto"/>
              <w:bottom w:val="single" w:sz="6" w:space="0" w:color="auto"/>
              <w:right w:val="single" w:sz="6" w:space="0" w:color="auto"/>
            </w:tcBorders>
          </w:tcPr>
          <w:p w14:paraId="7A0B361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3,402</w:t>
            </w:r>
          </w:p>
        </w:tc>
        <w:tc>
          <w:tcPr>
            <w:tcW w:w="1343" w:type="dxa"/>
            <w:tcBorders>
              <w:top w:val="single" w:sz="6" w:space="0" w:color="auto"/>
              <w:left w:val="single" w:sz="6" w:space="0" w:color="auto"/>
              <w:bottom w:val="single" w:sz="6" w:space="0" w:color="auto"/>
              <w:right w:val="single" w:sz="6" w:space="0" w:color="auto"/>
            </w:tcBorders>
          </w:tcPr>
          <w:p w14:paraId="1B262DA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344" w:type="dxa"/>
            <w:tcBorders>
              <w:top w:val="single" w:sz="6" w:space="0" w:color="auto"/>
              <w:left w:val="single" w:sz="6" w:space="0" w:color="auto"/>
              <w:bottom w:val="single" w:sz="6" w:space="0" w:color="auto"/>
              <w:right w:val="single" w:sz="6" w:space="0" w:color="auto"/>
            </w:tcBorders>
          </w:tcPr>
          <w:p w14:paraId="22B3174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3,178</w:t>
            </w:r>
          </w:p>
        </w:tc>
        <w:tc>
          <w:tcPr>
            <w:tcW w:w="1343" w:type="dxa"/>
            <w:tcBorders>
              <w:top w:val="single" w:sz="6" w:space="0" w:color="auto"/>
              <w:left w:val="single" w:sz="6" w:space="0" w:color="auto"/>
              <w:bottom w:val="single" w:sz="6" w:space="0" w:color="auto"/>
              <w:right w:val="single" w:sz="6" w:space="0" w:color="auto"/>
            </w:tcBorders>
          </w:tcPr>
          <w:p w14:paraId="4B91831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w:t>
            </w:r>
          </w:p>
        </w:tc>
        <w:tc>
          <w:tcPr>
            <w:tcW w:w="1344" w:type="dxa"/>
            <w:tcBorders>
              <w:top w:val="single" w:sz="6" w:space="0" w:color="auto"/>
              <w:left w:val="single" w:sz="6" w:space="0" w:color="auto"/>
              <w:bottom w:val="single" w:sz="6" w:space="0" w:color="auto"/>
              <w:right w:val="single" w:sz="6" w:space="0" w:color="auto"/>
            </w:tcBorders>
          </w:tcPr>
          <w:p w14:paraId="285F0A4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33,805</w:t>
            </w:r>
          </w:p>
        </w:tc>
      </w:tr>
      <w:tr w:rsidR="00C50A05" w:rsidRPr="00392E0D" w14:paraId="6F927061"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6DF2C40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1558456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26,546</w:t>
            </w:r>
          </w:p>
        </w:tc>
        <w:tc>
          <w:tcPr>
            <w:tcW w:w="1343" w:type="dxa"/>
            <w:tcBorders>
              <w:top w:val="single" w:sz="6" w:space="0" w:color="auto"/>
              <w:left w:val="single" w:sz="6" w:space="0" w:color="auto"/>
              <w:bottom w:val="single" w:sz="6" w:space="0" w:color="auto"/>
              <w:right w:val="single" w:sz="6" w:space="0" w:color="auto"/>
            </w:tcBorders>
          </w:tcPr>
          <w:p w14:paraId="766C0F4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80.7</w:t>
            </w:r>
          </w:p>
        </w:tc>
        <w:tc>
          <w:tcPr>
            <w:tcW w:w="1344" w:type="dxa"/>
            <w:tcBorders>
              <w:top w:val="single" w:sz="6" w:space="0" w:color="auto"/>
              <w:left w:val="single" w:sz="6" w:space="0" w:color="auto"/>
              <w:bottom w:val="single" w:sz="6" w:space="0" w:color="auto"/>
              <w:right w:val="single" w:sz="6" w:space="0" w:color="auto"/>
            </w:tcBorders>
          </w:tcPr>
          <w:p w14:paraId="2A932F3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3,424</w:t>
            </w:r>
          </w:p>
        </w:tc>
        <w:tc>
          <w:tcPr>
            <w:tcW w:w="1343" w:type="dxa"/>
            <w:tcBorders>
              <w:top w:val="single" w:sz="6" w:space="0" w:color="auto"/>
              <w:left w:val="single" w:sz="6" w:space="0" w:color="auto"/>
              <w:bottom w:val="single" w:sz="6" w:space="0" w:color="auto"/>
              <w:right w:val="single" w:sz="6" w:space="0" w:color="auto"/>
            </w:tcBorders>
          </w:tcPr>
          <w:p w14:paraId="6B867CA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10.4</w:t>
            </w:r>
          </w:p>
        </w:tc>
        <w:tc>
          <w:tcPr>
            <w:tcW w:w="1344" w:type="dxa"/>
            <w:tcBorders>
              <w:top w:val="single" w:sz="6" w:space="0" w:color="auto"/>
              <w:left w:val="single" w:sz="6" w:space="0" w:color="auto"/>
              <w:bottom w:val="single" w:sz="6" w:space="0" w:color="auto"/>
              <w:right w:val="single" w:sz="6" w:space="0" w:color="auto"/>
            </w:tcBorders>
          </w:tcPr>
          <w:p w14:paraId="216A388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2,929</w:t>
            </w:r>
          </w:p>
        </w:tc>
        <w:tc>
          <w:tcPr>
            <w:tcW w:w="1343" w:type="dxa"/>
            <w:tcBorders>
              <w:top w:val="single" w:sz="6" w:space="0" w:color="auto"/>
              <w:left w:val="single" w:sz="6" w:space="0" w:color="auto"/>
              <w:bottom w:val="single" w:sz="6" w:space="0" w:color="auto"/>
              <w:right w:val="single" w:sz="6" w:space="0" w:color="auto"/>
            </w:tcBorders>
          </w:tcPr>
          <w:p w14:paraId="0306EC0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c>
          <w:tcPr>
            <w:tcW w:w="1344" w:type="dxa"/>
            <w:tcBorders>
              <w:top w:val="single" w:sz="6" w:space="0" w:color="auto"/>
              <w:left w:val="single" w:sz="6" w:space="0" w:color="auto"/>
              <w:bottom w:val="single" w:sz="6" w:space="0" w:color="auto"/>
              <w:right w:val="single" w:sz="6" w:space="0" w:color="auto"/>
            </w:tcBorders>
          </w:tcPr>
          <w:p w14:paraId="3B98CA3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32,899</w:t>
            </w:r>
          </w:p>
        </w:tc>
      </w:tr>
      <w:tr w:rsidR="00C50A05" w:rsidRPr="00392E0D" w14:paraId="58CCDCE9"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5FEE264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4E3E96E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25,620</w:t>
            </w:r>
          </w:p>
        </w:tc>
        <w:tc>
          <w:tcPr>
            <w:tcW w:w="1343" w:type="dxa"/>
            <w:tcBorders>
              <w:top w:val="single" w:sz="6" w:space="0" w:color="auto"/>
              <w:left w:val="single" w:sz="6" w:space="0" w:color="auto"/>
              <w:bottom w:val="single" w:sz="6" w:space="0" w:color="auto"/>
              <w:right w:val="single" w:sz="6" w:space="0" w:color="auto"/>
            </w:tcBorders>
          </w:tcPr>
          <w:p w14:paraId="52300F7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78.8</w:t>
            </w:r>
          </w:p>
        </w:tc>
        <w:tc>
          <w:tcPr>
            <w:tcW w:w="1344" w:type="dxa"/>
            <w:tcBorders>
              <w:top w:val="single" w:sz="6" w:space="0" w:color="auto"/>
              <w:left w:val="single" w:sz="6" w:space="0" w:color="auto"/>
              <w:bottom w:val="single" w:sz="6" w:space="0" w:color="auto"/>
              <w:right w:val="single" w:sz="6" w:space="0" w:color="auto"/>
            </w:tcBorders>
          </w:tcPr>
          <w:p w14:paraId="18CDD8C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3,676</w:t>
            </w:r>
          </w:p>
        </w:tc>
        <w:tc>
          <w:tcPr>
            <w:tcW w:w="1343" w:type="dxa"/>
            <w:tcBorders>
              <w:top w:val="single" w:sz="6" w:space="0" w:color="auto"/>
              <w:left w:val="single" w:sz="6" w:space="0" w:color="auto"/>
              <w:bottom w:val="single" w:sz="6" w:space="0" w:color="auto"/>
              <w:right w:val="single" w:sz="6" w:space="0" w:color="auto"/>
            </w:tcBorders>
          </w:tcPr>
          <w:p w14:paraId="2C029CB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11.3</w:t>
            </w:r>
          </w:p>
        </w:tc>
        <w:tc>
          <w:tcPr>
            <w:tcW w:w="1344" w:type="dxa"/>
            <w:tcBorders>
              <w:top w:val="single" w:sz="6" w:space="0" w:color="auto"/>
              <w:left w:val="single" w:sz="6" w:space="0" w:color="auto"/>
              <w:bottom w:val="single" w:sz="6" w:space="0" w:color="auto"/>
              <w:right w:val="single" w:sz="6" w:space="0" w:color="auto"/>
            </w:tcBorders>
          </w:tcPr>
          <w:p w14:paraId="7B420DE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3,206</w:t>
            </w:r>
          </w:p>
        </w:tc>
        <w:tc>
          <w:tcPr>
            <w:tcW w:w="1343" w:type="dxa"/>
            <w:tcBorders>
              <w:top w:val="single" w:sz="6" w:space="0" w:color="auto"/>
              <w:left w:val="single" w:sz="6" w:space="0" w:color="auto"/>
              <w:bottom w:val="single" w:sz="6" w:space="0" w:color="auto"/>
              <w:right w:val="single" w:sz="6" w:space="0" w:color="auto"/>
            </w:tcBorders>
          </w:tcPr>
          <w:p w14:paraId="301D8FA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1344" w:type="dxa"/>
            <w:tcBorders>
              <w:top w:val="single" w:sz="6" w:space="0" w:color="auto"/>
              <w:left w:val="single" w:sz="6" w:space="0" w:color="auto"/>
              <w:bottom w:val="single" w:sz="6" w:space="0" w:color="auto"/>
              <w:right w:val="single" w:sz="6" w:space="0" w:color="auto"/>
            </w:tcBorders>
          </w:tcPr>
          <w:p w14:paraId="791C96A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32,502</w:t>
            </w:r>
          </w:p>
        </w:tc>
      </w:tr>
      <w:tr w:rsidR="00C50A05" w:rsidRPr="00392E0D" w14:paraId="4345EBC4"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4643B8E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2F18483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24,045</w:t>
            </w:r>
          </w:p>
        </w:tc>
        <w:tc>
          <w:tcPr>
            <w:tcW w:w="1343" w:type="dxa"/>
            <w:tcBorders>
              <w:top w:val="single" w:sz="6" w:space="0" w:color="auto"/>
              <w:left w:val="single" w:sz="6" w:space="0" w:color="auto"/>
              <w:bottom w:val="single" w:sz="6" w:space="0" w:color="auto"/>
              <w:right w:val="single" w:sz="6" w:space="0" w:color="auto"/>
            </w:tcBorders>
          </w:tcPr>
          <w:p w14:paraId="5197FDF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78.0</w:t>
            </w:r>
          </w:p>
        </w:tc>
        <w:tc>
          <w:tcPr>
            <w:tcW w:w="1344" w:type="dxa"/>
            <w:tcBorders>
              <w:top w:val="single" w:sz="6" w:space="0" w:color="auto"/>
              <w:left w:val="single" w:sz="6" w:space="0" w:color="auto"/>
              <w:bottom w:val="single" w:sz="6" w:space="0" w:color="auto"/>
              <w:right w:val="single" w:sz="6" w:space="0" w:color="auto"/>
            </w:tcBorders>
          </w:tcPr>
          <w:p w14:paraId="4EF7A4B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3,777</w:t>
            </w:r>
          </w:p>
        </w:tc>
        <w:tc>
          <w:tcPr>
            <w:tcW w:w="1343" w:type="dxa"/>
            <w:tcBorders>
              <w:top w:val="single" w:sz="6" w:space="0" w:color="auto"/>
              <w:left w:val="single" w:sz="6" w:space="0" w:color="auto"/>
              <w:bottom w:val="single" w:sz="6" w:space="0" w:color="auto"/>
              <w:right w:val="single" w:sz="6" w:space="0" w:color="auto"/>
            </w:tcBorders>
          </w:tcPr>
          <w:p w14:paraId="0D77814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12.2</w:t>
            </w:r>
          </w:p>
        </w:tc>
        <w:tc>
          <w:tcPr>
            <w:tcW w:w="1344" w:type="dxa"/>
            <w:tcBorders>
              <w:top w:val="single" w:sz="6" w:space="0" w:color="auto"/>
              <w:left w:val="single" w:sz="6" w:space="0" w:color="auto"/>
              <w:bottom w:val="single" w:sz="6" w:space="0" w:color="auto"/>
              <w:right w:val="single" w:sz="6" w:space="0" w:color="auto"/>
            </w:tcBorders>
          </w:tcPr>
          <w:p w14:paraId="3CA6AD5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3,012</w:t>
            </w:r>
          </w:p>
        </w:tc>
        <w:tc>
          <w:tcPr>
            <w:tcW w:w="1343" w:type="dxa"/>
            <w:tcBorders>
              <w:top w:val="single" w:sz="6" w:space="0" w:color="auto"/>
              <w:left w:val="single" w:sz="6" w:space="0" w:color="auto"/>
              <w:bottom w:val="single" w:sz="6" w:space="0" w:color="auto"/>
              <w:right w:val="single" w:sz="6" w:space="0" w:color="auto"/>
            </w:tcBorders>
          </w:tcPr>
          <w:p w14:paraId="615415A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w:t>
            </w:r>
          </w:p>
        </w:tc>
        <w:tc>
          <w:tcPr>
            <w:tcW w:w="1344" w:type="dxa"/>
            <w:tcBorders>
              <w:top w:val="single" w:sz="6" w:space="0" w:color="auto"/>
              <w:left w:val="single" w:sz="6" w:space="0" w:color="auto"/>
              <w:bottom w:val="single" w:sz="6" w:space="0" w:color="auto"/>
              <w:right w:val="single" w:sz="6" w:space="0" w:color="auto"/>
            </w:tcBorders>
          </w:tcPr>
          <w:p w14:paraId="71CF92F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30,834</w:t>
            </w:r>
          </w:p>
        </w:tc>
      </w:tr>
      <w:tr w:rsidR="00C50A05" w:rsidRPr="00392E0D" w14:paraId="05083DB9"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6C72968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0306324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20,290</w:t>
            </w:r>
          </w:p>
        </w:tc>
        <w:tc>
          <w:tcPr>
            <w:tcW w:w="1343" w:type="dxa"/>
            <w:tcBorders>
              <w:top w:val="single" w:sz="6" w:space="0" w:color="auto"/>
              <w:left w:val="single" w:sz="6" w:space="0" w:color="auto"/>
              <w:bottom w:val="single" w:sz="6" w:space="0" w:color="auto"/>
              <w:right w:val="single" w:sz="6" w:space="0" w:color="auto"/>
            </w:tcBorders>
          </w:tcPr>
          <w:p w14:paraId="1FC2C6D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77.7</w:t>
            </w:r>
          </w:p>
        </w:tc>
        <w:tc>
          <w:tcPr>
            <w:tcW w:w="1344" w:type="dxa"/>
            <w:tcBorders>
              <w:top w:val="single" w:sz="6" w:space="0" w:color="auto"/>
              <w:left w:val="single" w:sz="6" w:space="0" w:color="auto"/>
              <w:bottom w:val="single" w:sz="6" w:space="0" w:color="auto"/>
              <w:right w:val="single" w:sz="6" w:space="0" w:color="auto"/>
            </w:tcBorders>
          </w:tcPr>
          <w:p w14:paraId="0E53478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3,191</w:t>
            </w:r>
          </w:p>
        </w:tc>
        <w:tc>
          <w:tcPr>
            <w:tcW w:w="1343" w:type="dxa"/>
            <w:tcBorders>
              <w:top w:val="single" w:sz="6" w:space="0" w:color="auto"/>
              <w:left w:val="single" w:sz="6" w:space="0" w:color="auto"/>
              <w:bottom w:val="single" w:sz="6" w:space="0" w:color="auto"/>
              <w:right w:val="single" w:sz="6" w:space="0" w:color="auto"/>
            </w:tcBorders>
          </w:tcPr>
          <w:p w14:paraId="2BEAF41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12.2</w:t>
            </w:r>
          </w:p>
        </w:tc>
        <w:tc>
          <w:tcPr>
            <w:tcW w:w="1344" w:type="dxa"/>
            <w:tcBorders>
              <w:top w:val="single" w:sz="6" w:space="0" w:color="auto"/>
              <w:left w:val="single" w:sz="6" w:space="0" w:color="auto"/>
              <w:bottom w:val="single" w:sz="6" w:space="0" w:color="auto"/>
              <w:right w:val="single" w:sz="6" w:space="0" w:color="auto"/>
            </w:tcBorders>
          </w:tcPr>
          <w:p w14:paraId="6FA2A9C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2,646</w:t>
            </w:r>
          </w:p>
        </w:tc>
        <w:tc>
          <w:tcPr>
            <w:tcW w:w="1343" w:type="dxa"/>
            <w:tcBorders>
              <w:top w:val="single" w:sz="6" w:space="0" w:color="auto"/>
              <w:left w:val="single" w:sz="6" w:space="0" w:color="auto"/>
              <w:bottom w:val="single" w:sz="6" w:space="0" w:color="auto"/>
              <w:right w:val="single" w:sz="6" w:space="0" w:color="auto"/>
            </w:tcBorders>
          </w:tcPr>
          <w:p w14:paraId="4E57796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344" w:type="dxa"/>
            <w:tcBorders>
              <w:top w:val="single" w:sz="6" w:space="0" w:color="auto"/>
              <w:left w:val="single" w:sz="6" w:space="0" w:color="auto"/>
              <w:bottom w:val="single" w:sz="6" w:space="0" w:color="auto"/>
              <w:right w:val="single" w:sz="6" w:space="0" w:color="auto"/>
            </w:tcBorders>
          </w:tcPr>
          <w:p w14:paraId="0CD93D1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26,127</w:t>
            </w:r>
          </w:p>
        </w:tc>
      </w:tr>
    </w:tbl>
    <w:p w14:paraId="16B557A6" w14:textId="77777777" w:rsidR="000332EB" w:rsidRPr="00392E0D" w:rsidRDefault="000332EB">
      <w:pPr>
        <w:widowControl/>
        <w:autoSpaceDE/>
        <w:autoSpaceDN/>
        <w:rPr>
          <w:rFonts w:ascii="Arial" w:eastAsia="Times New Roman" w:hAnsi="Arial" w:cs="Arial"/>
          <w:color w:val="000000" w:themeColor="text1"/>
          <w:sz w:val="21"/>
          <w:szCs w:val="18"/>
        </w:rPr>
      </w:pPr>
      <w:r w:rsidRPr="00392E0D">
        <w:rPr>
          <w:rFonts w:ascii="Arial" w:hAnsi="Arial" w:cs="Arial"/>
        </w:rPr>
        <w:br w:type="page"/>
      </w:r>
    </w:p>
    <w:p w14:paraId="15112530" w14:textId="7BAAE088" w:rsidR="00C50A05" w:rsidRPr="00392E0D" w:rsidRDefault="00C50A05" w:rsidP="00C50A05">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84</w:t>
      </w:r>
      <w:r w:rsidRPr="00392E0D">
        <w:rPr>
          <w:rFonts w:cs="Arial"/>
        </w:rPr>
        <w:fldChar w:fldCharType="end"/>
      </w:r>
      <w:r w:rsidRPr="00392E0D">
        <w:rPr>
          <w:rFonts w:cs="Arial"/>
        </w:rPr>
        <w:tab/>
      </w:r>
      <w:r w:rsidRPr="00392E0D">
        <w:rPr>
          <w:rFonts w:eastAsiaTheme="minorHAnsi" w:cs="Arial"/>
          <w:lang w:val="en-AU"/>
        </w:rPr>
        <w:t>Western Australia trends (2009 – 2021) – Social Competence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C50A05" w:rsidRPr="00392E0D" w14:paraId="2947A88A"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0B70039F" w14:textId="77777777" w:rsidR="00C50A05" w:rsidRPr="00392E0D" w:rsidRDefault="00C50A05" w:rsidP="000332EB">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6347A428" w14:textId="53A6CD77"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4E71719D" w14:textId="49FD8685"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71208121" w14:textId="1328DCE0"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0706BAD0" w14:textId="35FEC58E"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28397FBA" w14:textId="7B0BBD7F"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40E5C4F5" w14:textId="7F1ABA74"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49C1C24C" w14:textId="636F6EBC"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C50A05" w:rsidRPr="00392E0D" w14:paraId="21B08D6D"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3D19822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16A42CE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26,767</w:t>
            </w:r>
          </w:p>
        </w:tc>
        <w:tc>
          <w:tcPr>
            <w:tcW w:w="1343" w:type="dxa"/>
            <w:tcBorders>
              <w:top w:val="single" w:sz="6" w:space="0" w:color="auto"/>
              <w:left w:val="single" w:sz="6" w:space="0" w:color="auto"/>
              <w:bottom w:val="single" w:sz="6" w:space="0" w:color="auto"/>
              <w:right w:val="single" w:sz="6" w:space="0" w:color="auto"/>
            </w:tcBorders>
          </w:tcPr>
          <w:p w14:paraId="335C507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79.2</w:t>
            </w:r>
          </w:p>
        </w:tc>
        <w:tc>
          <w:tcPr>
            <w:tcW w:w="1344" w:type="dxa"/>
            <w:tcBorders>
              <w:top w:val="single" w:sz="6" w:space="0" w:color="auto"/>
              <w:left w:val="single" w:sz="6" w:space="0" w:color="auto"/>
              <w:bottom w:val="single" w:sz="6" w:space="0" w:color="auto"/>
              <w:right w:val="single" w:sz="6" w:space="0" w:color="auto"/>
            </w:tcBorders>
          </w:tcPr>
          <w:p w14:paraId="7788EE2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4,458</w:t>
            </w:r>
          </w:p>
        </w:tc>
        <w:tc>
          <w:tcPr>
            <w:tcW w:w="1343" w:type="dxa"/>
            <w:tcBorders>
              <w:top w:val="single" w:sz="6" w:space="0" w:color="auto"/>
              <w:left w:val="single" w:sz="6" w:space="0" w:color="auto"/>
              <w:bottom w:val="single" w:sz="6" w:space="0" w:color="auto"/>
              <w:right w:val="single" w:sz="6" w:space="0" w:color="auto"/>
            </w:tcBorders>
          </w:tcPr>
          <w:p w14:paraId="5B253C1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13.2</w:t>
            </w:r>
          </w:p>
        </w:tc>
        <w:tc>
          <w:tcPr>
            <w:tcW w:w="1344" w:type="dxa"/>
            <w:tcBorders>
              <w:top w:val="single" w:sz="6" w:space="0" w:color="auto"/>
              <w:left w:val="single" w:sz="6" w:space="0" w:color="auto"/>
              <w:bottom w:val="single" w:sz="6" w:space="0" w:color="auto"/>
              <w:right w:val="single" w:sz="6" w:space="0" w:color="auto"/>
            </w:tcBorders>
          </w:tcPr>
          <w:p w14:paraId="3E7F03D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2,577</w:t>
            </w:r>
          </w:p>
        </w:tc>
        <w:tc>
          <w:tcPr>
            <w:tcW w:w="1343" w:type="dxa"/>
            <w:tcBorders>
              <w:top w:val="single" w:sz="6" w:space="0" w:color="auto"/>
              <w:left w:val="single" w:sz="6" w:space="0" w:color="auto"/>
              <w:bottom w:val="single" w:sz="6" w:space="0" w:color="auto"/>
              <w:right w:val="single" w:sz="6" w:space="0" w:color="auto"/>
            </w:tcBorders>
          </w:tcPr>
          <w:p w14:paraId="29C22B0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w:t>
            </w:r>
          </w:p>
        </w:tc>
        <w:tc>
          <w:tcPr>
            <w:tcW w:w="1344" w:type="dxa"/>
            <w:tcBorders>
              <w:top w:val="single" w:sz="6" w:space="0" w:color="auto"/>
              <w:left w:val="single" w:sz="6" w:space="0" w:color="auto"/>
              <w:bottom w:val="single" w:sz="6" w:space="0" w:color="auto"/>
              <w:right w:val="single" w:sz="6" w:space="0" w:color="auto"/>
            </w:tcBorders>
          </w:tcPr>
          <w:p w14:paraId="18F8F3E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33,802</w:t>
            </w:r>
          </w:p>
        </w:tc>
      </w:tr>
      <w:tr w:rsidR="00C50A05" w:rsidRPr="00392E0D" w14:paraId="5541D41B"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0D2E592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461EFCB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26,171</w:t>
            </w:r>
          </w:p>
        </w:tc>
        <w:tc>
          <w:tcPr>
            <w:tcW w:w="1343" w:type="dxa"/>
            <w:tcBorders>
              <w:top w:val="single" w:sz="6" w:space="0" w:color="auto"/>
              <w:left w:val="single" w:sz="6" w:space="0" w:color="auto"/>
              <w:bottom w:val="single" w:sz="6" w:space="0" w:color="auto"/>
              <w:right w:val="single" w:sz="6" w:space="0" w:color="auto"/>
            </w:tcBorders>
          </w:tcPr>
          <w:p w14:paraId="2DD2DB1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79.6</w:t>
            </w:r>
          </w:p>
        </w:tc>
        <w:tc>
          <w:tcPr>
            <w:tcW w:w="1344" w:type="dxa"/>
            <w:tcBorders>
              <w:top w:val="single" w:sz="6" w:space="0" w:color="auto"/>
              <w:left w:val="single" w:sz="6" w:space="0" w:color="auto"/>
              <w:bottom w:val="single" w:sz="6" w:space="0" w:color="auto"/>
              <w:right w:val="single" w:sz="6" w:space="0" w:color="auto"/>
            </w:tcBorders>
          </w:tcPr>
          <w:p w14:paraId="0D2CDC6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4,292</w:t>
            </w:r>
          </w:p>
        </w:tc>
        <w:tc>
          <w:tcPr>
            <w:tcW w:w="1343" w:type="dxa"/>
            <w:tcBorders>
              <w:top w:val="single" w:sz="6" w:space="0" w:color="auto"/>
              <w:left w:val="single" w:sz="6" w:space="0" w:color="auto"/>
              <w:bottom w:val="single" w:sz="6" w:space="0" w:color="auto"/>
              <w:right w:val="single" w:sz="6" w:space="0" w:color="auto"/>
            </w:tcBorders>
          </w:tcPr>
          <w:p w14:paraId="0D1102D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w:t>
            </w:r>
          </w:p>
        </w:tc>
        <w:tc>
          <w:tcPr>
            <w:tcW w:w="1344" w:type="dxa"/>
            <w:tcBorders>
              <w:top w:val="single" w:sz="6" w:space="0" w:color="auto"/>
              <w:left w:val="single" w:sz="6" w:space="0" w:color="auto"/>
              <w:bottom w:val="single" w:sz="6" w:space="0" w:color="auto"/>
              <w:right w:val="single" w:sz="6" w:space="0" w:color="auto"/>
            </w:tcBorders>
          </w:tcPr>
          <w:p w14:paraId="60A793C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2,431</w:t>
            </w:r>
          </w:p>
        </w:tc>
        <w:tc>
          <w:tcPr>
            <w:tcW w:w="1343" w:type="dxa"/>
            <w:tcBorders>
              <w:top w:val="single" w:sz="6" w:space="0" w:color="auto"/>
              <w:left w:val="single" w:sz="6" w:space="0" w:color="auto"/>
              <w:bottom w:val="single" w:sz="6" w:space="0" w:color="auto"/>
              <w:right w:val="single" w:sz="6" w:space="0" w:color="auto"/>
            </w:tcBorders>
          </w:tcPr>
          <w:p w14:paraId="17DD1BA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w:t>
            </w:r>
          </w:p>
        </w:tc>
        <w:tc>
          <w:tcPr>
            <w:tcW w:w="1344" w:type="dxa"/>
            <w:tcBorders>
              <w:top w:val="single" w:sz="6" w:space="0" w:color="auto"/>
              <w:left w:val="single" w:sz="6" w:space="0" w:color="auto"/>
              <w:bottom w:val="single" w:sz="6" w:space="0" w:color="auto"/>
              <w:right w:val="single" w:sz="6" w:space="0" w:color="auto"/>
            </w:tcBorders>
          </w:tcPr>
          <w:p w14:paraId="187B824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32,894</w:t>
            </w:r>
          </w:p>
        </w:tc>
      </w:tr>
      <w:tr w:rsidR="00C50A05" w:rsidRPr="00392E0D" w14:paraId="32D5BDBB"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5972E26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2763838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25,051</w:t>
            </w:r>
          </w:p>
        </w:tc>
        <w:tc>
          <w:tcPr>
            <w:tcW w:w="1343" w:type="dxa"/>
            <w:tcBorders>
              <w:top w:val="single" w:sz="6" w:space="0" w:color="auto"/>
              <w:left w:val="single" w:sz="6" w:space="0" w:color="auto"/>
              <w:bottom w:val="single" w:sz="6" w:space="0" w:color="auto"/>
              <w:right w:val="single" w:sz="6" w:space="0" w:color="auto"/>
            </w:tcBorders>
          </w:tcPr>
          <w:p w14:paraId="2FB96ED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77.1</w:t>
            </w:r>
          </w:p>
        </w:tc>
        <w:tc>
          <w:tcPr>
            <w:tcW w:w="1344" w:type="dxa"/>
            <w:tcBorders>
              <w:top w:val="single" w:sz="6" w:space="0" w:color="auto"/>
              <w:left w:val="single" w:sz="6" w:space="0" w:color="auto"/>
              <w:bottom w:val="single" w:sz="6" w:space="0" w:color="auto"/>
              <w:right w:val="single" w:sz="6" w:space="0" w:color="auto"/>
            </w:tcBorders>
          </w:tcPr>
          <w:p w14:paraId="77DD182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4,724</w:t>
            </w:r>
          </w:p>
        </w:tc>
        <w:tc>
          <w:tcPr>
            <w:tcW w:w="1343" w:type="dxa"/>
            <w:tcBorders>
              <w:top w:val="single" w:sz="6" w:space="0" w:color="auto"/>
              <w:left w:val="single" w:sz="6" w:space="0" w:color="auto"/>
              <w:bottom w:val="single" w:sz="6" w:space="0" w:color="auto"/>
              <w:right w:val="single" w:sz="6" w:space="0" w:color="auto"/>
            </w:tcBorders>
          </w:tcPr>
          <w:p w14:paraId="77F53E6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14.5</w:t>
            </w:r>
          </w:p>
        </w:tc>
        <w:tc>
          <w:tcPr>
            <w:tcW w:w="1344" w:type="dxa"/>
            <w:tcBorders>
              <w:top w:val="single" w:sz="6" w:space="0" w:color="auto"/>
              <w:left w:val="single" w:sz="6" w:space="0" w:color="auto"/>
              <w:bottom w:val="single" w:sz="6" w:space="0" w:color="auto"/>
              <w:right w:val="single" w:sz="6" w:space="0" w:color="auto"/>
            </w:tcBorders>
          </w:tcPr>
          <w:p w14:paraId="1668D1E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2,721</w:t>
            </w:r>
          </w:p>
        </w:tc>
        <w:tc>
          <w:tcPr>
            <w:tcW w:w="1343" w:type="dxa"/>
            <w:tcBorders>
              <w:top w:val="single" w:sz="6" w:space="0" w:color="auto"/>
              <w:left w:val="single" w:sz="6" w:space="0" w:color="auto"/>
              <w:bottom w:val="single" w:sz="6" w:space="0" w:color="auto"/>
              <w:right w:val="single" w:sz="6" w:space="0" w:color="auto"/>
            </w:tcBorders>
          </w:tcPr>
          <w:p w14:paraId="4E49AA4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w:t>
            </w:r>
          </w:p>
        </w:tc>
        <w:tc>
          <w:tcPr>
            <w:tcW w:w="1344" w:type="dxa"/>
            <w:tcBorders>
              <w:top w:val="single" w:sz="6" w:space="0" w:color="auto"/>
              <w:left w:val="single" w:sz="6" w:space="0" w:color="auto"/>
              <w:bottom w:val="single" w:sz="6" w:space="0" w:color="auto"/>
              <w:right w:val="single" w:sz="6" w:space="0" w:color="auto"/>
            </w:tcBorders>
          </w:tcPr>
          <w:p w14:paraId="7B16C02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32,496</w:t>
            </w:r>
          </w:p>
        </w:tc>
      </w:tr>
      <w:tr w:rsidR="00C50A05" w:rsidRPr="00392E0D" w14:paraId="42B4559D"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4CDC7FA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4219356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23,689</w:t>
            </w:r>
          </w:p>
        </w:tc>
        <w:tc>
          <w:tcPr>
            <w:tcW w:w="1343" w:type="dxa"/>
            <w:tcBorders>
              <w:top w:val="single" w:sz="6" w:space="0" w:color="auto"/>
              <w:left w:val="single" w:sz="6" w:space="0" w:color="auto"/>
              <w:bottom w:val="single" w:sz="6" w:space="0" w:color="auto"/>
              <w:right w:val="single" w:sz="6" w:space="0" w:color="auto"/>
            </w:tcBorders>
          </w:tcPr>
          <w:p w14:paraId="5C21A7A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76.9</w:t>
            </w:r>
          </w:p>
        </w:tc>
        <w:tc>
          <w:tcPr>
            <w:tcW w:w="1344" w:type="dxa"/>
            <w:tcBorders>
              <w:top w:val="single" w:sz="6" w:space="0" w:color="auto"/>
              <w:left w:val="single" w:sz="6" w:space="0" w:color="auto"/>
              <w:bottom w:val="single" w:sz="6" w:space="0" w:color="auto"/>
              <w:right w:val="single" w:sz="6" w:space="0" w:color="auto"/>
            </w:tcBorders>
          </w:tcPr>
          <w:p w14:paraId="122A5EB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4,521</w:t>
            </w:r>
          </w:p>
        </w:tc>
        <w:tc>
          <w:tcPr>
            <w:tcW w:w="1343" w:type="dxa"/>
            <w:tcBorders>
              <w:top w:val="single" w:sz="6" w:space="0" w:color="auto"/>
              <w:left w:val="single" w:sz="6" w:space="0" w:color="auto"/>
              <w:bottom w:val="single" w:sz="6" w:space="0" w:color="auto"/>
              <w:right w:val="single" w:sz="6" w:space="0" w:color="auto"/>
            </w:tcBorders>
          </w:tcPr>
          <w:p w14:paraId="7E80FF5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14.7</w:t>
            </w:r>
          </w:p>
        </w:tc>
        <w:tc>
          <w:tcPr>
            <w:tcW w:w="1344" w:type="dxa"/>
            <w:tcBorders>
              <w:top w:val="single" w:sz="6" w:space="0" w:color="auto"/>
              <w:left w:val="single" w:sz="6" w:space="0" w:color="auto"/>
              <w:bottom w:val="single" w:sz="6" w:space="0" w:color="auto"/>
              <w:right w:val="single" w:sz="6" w:space="0" w:color="auto"/>
            </w:tcBorders>
          </w:tcPr>
          <w:p w14:paraId="35D019B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2,589</w:t>
            </w:r>
          </w:p>
        </w:tc>
        <w:tc>
          <w:tcPr>
            <w:tcW w:w="1343" w:type="dxa"/>
            <w:tcBorders>
              <w:top w:val="single" w:sz="6" w:space="0" w:color="auto"/>
              <w:left w:val="single" w:sz="6" w:space="0" w:color="auto"/>
              <w:bottom w:val="single" w:sz="6" w:space="0" w:color="auto"/>
              <w:right w:val="single" w:sz="6" w:space="0" w:color="auto"/>
            </w:tcBorders>
          </w:tcPr>
          <w:p w14:paraId="0B77B0B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w:t>
            </w:r>
          </w:p>
        </w:tc>
        <w:tc>
          <w:tcPr>
            <w:tcW w:w="1344" w:type="dxa"/>
            <w:tcBorders>
              <w:top w:val="single" w:sz="6" w:space="0" w:color="auto"/>
              <w:left w:val="single" w:sz="6" w:space="0" w:color="auto"/>
              <w:bottom w:val="single" w:sz="6" w:space="0" w:color="auto"/>
              <w:right w:val="single" w:sz="6" w:space="0" w:color="auto"/>
            </w:tcBorders>
          </w:tcPr>
          <w:p w14:paraId="09C4170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30,799</w:t>
            </w:r>
          </w:p>
        </w:tc>
      </w:tr>
      <w:tr w:rsidR="00C50A05" w:rsidRPr="00392E0D" w14:paraId="4A1CF168"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1B453B5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4A02EB4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19,909</w:t>
            </w:r>
          </w:p>
        </w:tc>
        <w:tc>
          <w:tcPr>
            <w:tcW w:w="1343" w:type="dxa"/>
            <w:tcBorders>
              <w:top w:val="single" w:sz="6" w:space="0" w:color="auto"/>
              <w:left w:val="single" w:sz="6" w:space="0" w:color="auto"/>
              <w:bottom w:val="single" w:sz="6" w:space="0" w:color="auto"/>
              <w:right w:val="single" w:sz="6" w:space="0" w:color="auto"/>
            </w:tcBorders>
          </w:tcPr>
          <w:p w14:paraId="6D09A94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76.2</w:t>
            </w:r>
          </w:p>
        </w:tc>
        <w:tc>
          <w:tcPr>
            <w:tcW w:w="1344" w:type="dxa"/>
            <w:tcBorders>
              <w:top w:val="single" w:sz="6" w:space="0" w:color="auto"/>
              <w:left w:val="single" w:sz="6" w:space="0" w:color="auto"/>
              <w:bottom w:val="single" w:sz="6" w:space="0" w:color="auto"/>
              <w:right w:val="single" w:sz="6" w:space="0" w:color="auto"/>
            </w:tcBorders>
          </w:tcPr>
          <w:p w14:paraId="26AF435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4,202</w:t>
            </w:r>
          </w:p>
        </w:tc>
        <w:tc>
          <w:tcPr>
            <w:tcW w:w="1343" w:type="dxa"/>
            <w:tcBorders>
              <w:top w:val="single" w:sz="6" w:space="0" w:color="auto"/>
              <w:left w:val="single" w:sz="6" w:space="0" w:color="auto"/>
              <w:bottom w:val="single" w:sz="6" w:space="0" w:color="auto"/>
              <w:right w:val="single" w:sz="6" w:space="0" w:color="auto"/>
            </w:tcBorders>
          </w:tcPr>
          <w:p w14:paraId="2CB7058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16.1</w:t>
            </w:r>
          </w:p>
        </w:tc>
        <w:tc>
          <w:tcPr>
            <w:tcW w:w="1344" w:type="dxa"/>
            <w:tcBorders>
              <w:top w:val="single" w:sz="6" w:space="0" w:color="auto"/>
              <w:left w:val="single" w:sz="6" w:space="0" w:color="auto"/>
              <w:bottom w:val="single" w:sz="6" w:space="0" w:color="auto"/>
              <w:right w:val="single" w:sz="6" w:space="0" w:color="auto"/>
            </w:tcBorders>
          </w:tcPr>
          <w:p w14:paraId="045C946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2,014</w:t>
            </w:r>
          </w:p>
        </w:tc>
        <w:tc>
          <w:tcPr>
            <w:tcW w:w="1343" w:type="dxa"/>
            <w:tcBorders>
              <w:top w:val="single" w:sz="6" w:space="0" w:color="auto"/>
              <w:left w:val="single" w:sz="6" w:space="0" w:color="auto"/>
              <w:bottom w:val="single" w:sz="6" w:space="0" w:color="auto"/>
              <w:right w:val="single" w:sz="6" w:space="0" w:color="auto"/>
            </w:tcBorders>
          </w:tcPr>
          <w:p w14:paraId="6EB5939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w:t>
            </w:r>
          </w:p>
        </w:tc>
        <w:tc>
          <w:tcPr>
            <w:tcW w:w="1344" w:type="dxa"/>
            <w:tcBorders>
              <w:top w:val="single" w:sz="6" w:space="0" w:color="auto"/>
              <w:left w:val="single" w:sz="6" w:space="0" w:color="auto"/>
              <w:bottom w:val="single" w:sz="6" w:space="0" w:color="auto"/>
              <w:right w:val="single" w:sz="6" w:space="0" w:color="auto"/>
            </w:tcBorders>
          </w:tcPr>
          <w:p w14:paraId="46EB40A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26,125</w:t>
            </w:r>
          </w:p>
        </w:tc>
      </w:tr>
    </w:tbl>
    <w:p w14:paraId="2C39CAFE" w14:textId="541F7B13" w:rsidR="00C50A05" w:rsidRPr="00392E0D" w:rsidRDefault="00C50A05" w:rsidP="00C50A0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85</w:t>
      </w:r>
      <w:r w:rsidRPr="00392E0D">
        <w:rPr>
          <w:rFonts w:cs="Arial"/>
        </w:rPr>
        <w:fldChar w:fldCharType="end"/>
      </w:r>
      <w:r w:rsidRPr="00392E0D">
        <w:rPr>
          <w:rFonts w:cs="Arial"/>
        </w:rPr>
        <w:tab/>
      </w:r>
      <w:r w:rsidRPr="00392E0D">
        <w:rPr>
          <w:rFonts w:eastAsiaTheme="minorHAnsi" w:cs="Arial"/>
          <w:lang w:val="en-AU"/>
        </w:rPr>
        <w:t>Western Australia trends (2009 – 2021) – Emotional Maturity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C50A05" w:rsidRPr="00392E0D" w14:paraId="0D6FE5F6"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262CE887" w14:textId="77777777" w:rsidR="00C50A05" w:rsidRPr="00392E0D" w:rsidRDefault="00C50A05" w:rsidP="000332EB">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23E14FEC" w14:textId="463137F4"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15C3DDA7" w14:textId="4C3C1ACC"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161B0163" w14:textId="0B417034"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2510E728" w14:textId="343D27B5"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14809D7F" w14:textId="283D261C"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2526D68F" w14:textId="0EB89B08"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5E01FDBB" w14:textId="79E3CD1F"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C50A05" w:rsidRPr="00392E0D" w14:paraId="499D9BD5"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18D5C34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5BB0EAA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26,273</w:t>
            </w:r>
          </w:p>
        </w:tc>
        <w:tc>
          <w:tcPr>
            <w:tcW w:w="1343" w:type="dxa"/>
            <w:tcBorders>
              <w:top w:val="single" w:sz="6" w:space="0" w:color="auto"/>
              <w:left w:val="single" w:sz="6" w:space="0" w:color="auto"/>
              <w:bottom w:val="single" w:sz="6" w:space="0" w:color="auto"/>
              <w:right w:val="single" w:sz="6" w:space="0" w:color="auto"/>
            </w:tcBorders>
          </w:tcPr>
          <w:p w14:paraId="2D28136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77.9</w:t>
            </w:r>
          </w:p>
        </w:tc>
        <w:tc>
          <w:tcPr>
            <w:tcW w:w="1344" w:type="dxa"/>
            <w:tcBorders>
              <w:top w:val="single" w:sz="6" w:space="0" w:color="auto"/>
              <w:left w:val="single" w:sz="6" w:space="0" w:color="auto"/>
              <w:bottom w:val="single" w:sz="6" w:space="0" w:color="auto"/>
              <w:right w:val="single" w:sz="6" w:space="0" w:color="auto"/>
            </w:tcBorders>
          </w:tcPr>
          <w:p w14:paraId="757CB8A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4,828</w:t>
            </w:r>
          </w:p>
        </w:tc>
        <w:tc>
          <w:tcPr>
            <w:tcW w:w="1343" w:type="dxa"/>
            <w:tcBorders>
              <w:top w:val="single" w:sz="6" w:space="0" w:color="auto"/>
              <w:left w:val="single" w:sz="6" w:space="0" w:color="auto"/>
              <w:bottom w:val="single" w:sz="6" w:space="0" w:color="auto"/>
              <w:right w:val="single" w:sz="6" w:space="0" w:color="auto"/>
            </w:tcBorders>
          </w:tcPr>
          <w:p w14:paraId="4CC5740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14.3</w:t>
            </w:r>
          </w:p>
        </w:tc>
        <w:tc>
          <w:tcPr>
            <w:tcW w:w="1344" w:type="dxa"/>
            <w:tcBorders>
              <w:top w:val="single" w:sz="6" w:space="0" w:color="auto"/>
              <w:left w:val="single" w:sz="6" w:space="0" w:color="auto"/>
              <w:bottom w:val="single" w:sz="6" w:space="0" w:color="auto"/>
              <w:right w:val="single" w:sz="6" w:space="0" w:color="auto"/>
            </w:tcBorders>
          </w:tcPr>
          <w:p w14:paraId="4E02015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2,635</w:t>
            </w:r>
          </w:p>
        </w:tc>
        <w:tc>
          <w:tcPr>
            <w:tcW w:w="1343" w:type="dxa"/>
            <w:tcBorders>
              <w:top w:val="single" w:sz="6" w:space="0" w:color="auto"/>
              <w:left w:val="single" w:sz="6" w:space="0" w:color="auto"/>
              <w:bottom w:val="single" w:sz="6" w:space="0" w:color="auto"/>
              <w:right w:val="single" w:sz="6" w:space="0" w:color="auto"/>
            </w:tcBorders>
          </w:tcPr>
          <w:p w14:paraId="3DFA790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w:t>
            </w:r>
          </w:p>
        </w:tc>
        <w:tc>
          <w:tcPr>
            <w:tcW w:w="1344" w:type="dxa"/>
            <w:tcBorders>
              <w:top w:val="single" w:sz="6" w:space="0" w:color="auto"/>
              <w:left w:val="single" w:sz="6" w:space="0" w:color="auto"/>
              <w:bottom w:val="single" w:sz="6" w:space="0" w:color="auto"/>
              <w:right w:val="single" w:sz="6" w:space="0" w:color="auto"/>
            </w:tcBorders>
          </w:tcPr>
          <w:p w14:paraId="4D01657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33,736</w:t>
            </w:r>
          </w:p>
        </w:tc>
      </w:tr>
      <w:tr w:rsidR="00C50A05" w:rsidRPr="00392E0D" w14:paraId="48854F45"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3E7016E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6D2BF55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25,488</w:t>
            </w:r>
          </w:p>
        </w:tc>
        <w:tc>
          <w:tcPr>
            <w:tcW w:w="1343" w:type="dxa"/>
            <w:tcBorders>
              <w:top w:val="single" w:sz="6" w:space="0" w:color="auto"/>
              <w:left w:val="single" w:sz="6" w:space="0" w:color="auto"/>
              <w:bottom w:val="single" w:sz="6" w:space="0" w:color="auto"/>
              <w:right w:val="single" w:sz="6" w:space="0" w:color="auto"/>
            </w:tcBorders>
          </w:tcPr>
          <w:p w14:paraId="4A70A8E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77.7</w:t>
            </w:r>
          </w:p>
        </w:tc>
        <w:tc>
          <w:tcPr>
            <w:tcW w:w="1344" w:type="dxa"/>
            <w:tcBorders>
              <w:top w:val="single" w:sz="6" w:space="0" w:color="auto"/>
              <w:left w:val="single" w:sz="6" w:space="0" w:color="auto"/>
              <w:bottom w:val="single" w:sz="6" w:space="0" w:color="auto"/>
              <w:right w:val="single" w:sz="6" w:space="0" w:color="auto"/>
            </w:tcBorders>
          </w:tcPr>
          <w:p w14:paraId="5F0CA81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4,792</w:t>
            </w:r>
          </w:p>
        </w:tc>
        <w:tc>
          <w:tcPr>
            <w:tcW w:w="1343" w:type="dxa"/>
            <w:tcBorders>
              <w:top w:val="single" w:sz="6" w:space="0" w:color="auto"/>
              <w:left w:val="single" w:sz="6" w:space="0" w:color="auto"/>
              <w:bottom w:val="single" w:sz="6" w:space="0" w:color="auto"/>
              <w:right w:val="single" w:sz="6" w:space="0" w:color="auto"/>
            </w:tcBorders>
          </w:tcPr>
          <w:p w14:paraId="0398819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14.6</w:t>
            </w:r>
          </w:p>
        </w:tc>
        <w:tc>
          <w:tcPr>
            <w:tcW w:w="1344" w:type="dxa"/>
            <w:tcBorders>
              <w:top w:val="single" w:sz="6" w:space="0" w:color="auto"/>
              <w:left w:val="single" w:sz="6" w:space="0" w:color="auto"/>
              <w:bottom w:val="single" w:sz="6" w:space="0" w:color="auto"/>
              <w:right w:val="single" w:sz="6" w:space="0" w:color="auto"/>
            </w:tcBorders>
          </w:tcPr>
          <w:p w14:paraId="0CAF9F6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2,518</w:t>
            </w:r>
          </w:p>
        </w:tc>
        <w:tc>
          <w:tcPr>
            <w:tcW w:w="1343" w:type="dxa"/>
            <w:tcBorders>
              <w:top w:val="single" w:sz="6" w:space="0" w:color="auto"/>
              <w:left w:val="single" w:sz="6" w:space="0" w:color="auto"/>
              <w:bottom w:val="single" w:sz="6" w:space="0" w:color="auto"/>
              <w:right w:val="single" w:sz="6" w:space="0" w:color="auto"/>
            </w:tcBorders>
          </w:tcPr>
          <w:p w14:paraId="4881D77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w:t>
            </w:r>
          </w:p>
        </w:tc>
        <w:tc>
          <w:tcPr>
            <w:tcW w:w="1344" w:type="dxa"/>
            <w:tcBorders>
              <w:top w:val="single" w:sz="6" w:space="0" w:color="auto"/>
              <w:left w:val="single" w:sz="6" w:space="0" w:color="auto"/>
              <w:bottom w:val="single" w:sz="6" w:space="0" w:color="auto"/>
              <w:right w:val="single" w:sz="6" w:space="0" w:color="auto"/>
            </w:tcBorders>
          </w:tcPr>
          <w:p w14:paraId="3834469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32,798</w:t>
            </w:r>
          </w:p>
        </w:tc>
      </w:tr>
      <w:tr w:rsidR="00C50A05" w:rsidRPr="00392E0D" w14:paraId="6ABC1A6D"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3D3EF54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3354EEF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24,401</w:t>
            </w:r>
          </w:p>
        </w:tc>
        <w:tc>
          <w:tcPr>
            <w:tcW w:w="1343" w:type="dxa"/>
            <w:tcBorders>
              <w:top w:val="single" w:sz="6" w:space="0" w:color="auto"/>
              <w:left w:val="single" w:sz="6" w:space="0" w:color="auto"/>
              <w:bottom w:val="single" w:sz="6" w:space="0" w:color="auto"/>
              <w:right w:val="single" w:sz="6" w:space="0" w:color="auto"/>
            </w:tcBorders>
          </w:tcPr>
          <w:p w14:paraId="5C5FBCA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75.3</w:t>
            </w:r>
          </w:p>
        </w:tc>
        <w:tc>
          <w:tcPr>
            <w:tcW w:w="1344" w:type="dxa"/>
            <w:tcBorders>
              <w:top w:val="single" w:sz="6" w:space="0" w:color="auto"/>
              <w:left w:val="single" w:sz="6" w:space="0" w:color="auto"/>
              <w:bottom w:val="single" w:sz="6" w:space="0" w:color="auto"/>
              <w:right w:val="single" w:sz="6" w:space="0" w:color="auto"/>
            </w:tcBorders>
          </w:tcPr>
          <w:p w14:paraId="5FD59E2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5,241</w:t>
            </w:r>
          </w:p>
        </w:tc>
        <w:tc>
          <w:tcPr>
            <w:tcW w:w="1343" w:type="dxa"/>
            <w:tcBorders>
              <w:top w:val="single" w:sz="6" w:space="0" w:color="auto"/>
              <w:left w:val="single" w:sz="6" w:space="0" w:color="auto"/>
              <w:bottom w:val="single" w:sz="6" w:space="0" w:color="auto"/>
              <w:right w:val="single" w:sz="6" w:space="0" w:color="auto"/>
            </w:tcBorders>
          </w:tcPr>
          <w:p w14:paraId="2121E4B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c>
          <w:tcPr>
            <w:tcW w:w="1344" w:type="dxa"/>
            <w:tcBorders>
              <w:top w:val="single" w:sz="6" w:space="0" w:color="auto"/>
              <w:left w:val="single" w:sz="6" w:space="0" w:color="auto"/>
              <w:bottom w:val="single" w:sz="6" w:space="0" w:color="auto"/>
              <w:right w:val="single" w:sz="6" w:space="0" w:color="auto"/>
            </w:tcBorders>
          </w:tcPr>
          <w:p w14:paraId="2C4FF51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2,751</w:t>
            </w:r>
          </w:p>
        </w:tc>
        <w:tc>
          <w:tcPr>
            <w:tcW w:w="1343" w:type="dxa"/>
            <w:tcBorders>
              <w:top w:val="single" w:sz="6" w:space="0" w:color="auto"/>
              <w:left w:val="single" w:sz="6" w:space="0" w:color="auto"/>
              <w:bottom w:val="single" w:sz="6" w:space="0" w:color="auto"/>
              <w:right w:val="single" w:sz="6" w:space="0" w:color="auto"/>
            </w:tcBorders>
          </w:tcPr>
          <w:p w14:paraId="1279EDB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w:t>
            </w:r>
          </w:p>
        </w:tc>
        <w:tc>
          <w:tcPr>
            <w:tcW w:w="1344" w:type="dxa"/>
            <w:tcBorders>
              <w:top w:val="single" w:sz="6" w:space="0" w:color="auto"/>
              <w:left w:val="single" w:sz="6" w:space="0" w:color="auto"/>
              <w:bottom w:val="single" w:sz="6" w:space="0" w:color="auto"/>
              <w:right w:val="single" w:sz="6" w:space="0" w:color="auto"/>
            </w:tcBorders>
          </w:tcPr>
          <w:p w14:paraId="6AA22D9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32,393</w:t>
            </w:r>
          </w:p>
        </w:tc>
      </w:tr>
      <w:tr w:rsidR="00C50A05" w:rsidRPr="00392E0D" w14:paraId="0C2E6361"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4D4EAB4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5E0CA66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23,147</w:t>
            </w:r>
          </w:p>
        </w:tc>
        <w:tc>
          <w:tcPr>
            <w:tcW w:w="1343" w:type="dxa"/>
            <w:tcBorders>
              <w:top w:val="single" w:sz="6" w:space="0" w:color="auto"/>
              <w:left w:val="single" w:sz="6" w:space="0" w:color="auto"/>
              <w:bottom w:val="single" w:sz="6" w:space="0" w:color="auto"/>
              <w:right w:val="single" w:sz="6" w:space="0" w:color="auto"/>
            </w:tcBorders>
          </w:tcPr>
          <w:p w14:paraId="26592D7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75.5</w:t>
            </w:r>
          </w:p>
        </w:tc>
        <w:tc>
          <w:tcPr>
            <w:tcW w:w="1344" w:type="dxa"/>
            <w:tcBorders>
              <w:top w:val="single" w:sz="6" w:space="0" w:color="auto"/>
              <w:left w:val="single" w:sz="6" w:space="0" w:color="auto"/>
              <w:bottom w:val="single" w:sz="6" w:space="0" w:color="auto"/>
              <w:right w:val="single" w:sz="6" w:space="0" w:color="auto"/>
            </w:tcBorders>
          </w:tcPr>
          <w:p w14:paraId="4632ED5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4,972</w:t>
            </w:r>
          </w:p>
        </w:tc>
        <w:tc>
          <w:tcPr>
            <w:tcW w:w="1343" w:type="dxa"/>
            <w:tcBorders>
              <w:top w:val="single" w:sz="6" w:space="0" w:color="auto"/>
              <w:left w:val="single" w:sz="6" w:space="0" w:color="auto"/>
              <w:bottom w:val="single" w:sz="6" w:space="0" w:color="auto"/>
              <w:right w:val="single" w:sz="6" w:space="0" w:color="auto"/>
            </w:tcBorders>
          </w:tcPr>
          <w:p w14:paraId="2AC8607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c>
          <w:tcPr>
            <w:tcW w:w="1344" w:type="dxa"/>
            <w:tcBorders>
              <w:top w:val="single" w:sz="6" w:space="0" w:color="auto"/>
              <w:left w:val="single" w:sz="6" w:space="0" w:color="auto"/>
              <w:bottom w:val="single" w:sz="6" w:space="0" w:color="auto"/>
              <w:right w:val="single" w:sz="6" w:space="0" w:color="auto"/>
            </w:tcBorders>
          </w:tcPr>
          <w:p w14:paraId="6429E66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2,559</w:t>
            </w:r>
          </w:p>
        </w:tc>
        <w:tc>
          <w:tcPr>
            <w:tcW w:w="1343" w:type="dxa"/>
            <w:tcBorders>
              <w:top w:val="single" w:sz="6" w:space="0" w:color="auto"/>
              <w:left w:val="single" w:sz="6" w:space="0" w:color="auto"/>
              <w:bottom w:val="single" w:sz="6" w:space="0" w:color="auto"/>
              <w:right w:val="single" w:sz="6" w:space="0" w:color="auto"/>
            </w:tcBorders>
          </w:tcPr>
          <w:p w14:paraId="367A206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w:t>
            </w:r>
          </w:p>
        </w:tc>
        <w:tc>
          <w:tcPr>
            <w:tcW w:w="1344" w:type="dxa"/>
            <w:tcBorders>
              <w:top w:val="single" w:sz="6" w:space="0" w:color="auto"/>
              <w:left w:val="single" w:sz="6" w:space="0" w:color="auto"/>
              <w:bottom w:val="single" w:sz="6" w:space="0" w:color="auto"/>
              <w:right w:val="single" w:sz="6" w:space="0" w:color="auto"/>
            </w:tcBorders>
          </w:tcPr>
          <w:p w14:paraId="063A788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30,678</w:t>
            </w:r>
          </w:p>
        </w:tc>
      </w:tr>
      <w:tr w:rsidR="00C50A05" w:rsidRPr="00392E0D" w14:paraId="64C00F63"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6AA74AA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2EE75D9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19,238</w:t>
            </w:r>
          </w:p>
        </w:tc>
        <w:tc>
          <w:tcPr>
            <w:tcW w:w="1343" w:type="dxa"/>
            <w:tcBorders>
              <w:top w:val="single" w:sz="6" w:space="0" w:color="auto"/>
              <w:left w:val="single" w:sz="6" w:space="0" w:color="auto"/>
              <w:bottom w:val="single" w:sz="6" w:space="0" w:color="auto"/>
              <w:right w:val="single" w:sz="6" w:space="0" w:color="auto"/>
            </w:tcBorders>
          </w:tcPr>
          <w:p w14:paraId="7CFDD51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73.9</w:t>
            </w:r>
          </w:p>
        </w:tc>
        <w:tc>
          <w:tcPr>
            <w:tcW w:w="1344" w:type="dxa"/>
            <w:tcBorders>
              <w:top w:val="single" w:sz="6" w:space="0" w:color="auto"/>
              <w:left w:val="single" w:sz="6" w:space="0" w:color="auto"/>
              <w:bottom w:val="single" w:sz="6" w:space="0" w:color="auto"/>
              <w:right w:val="single" w:sz="6" w:space="0" w:color="auto"/>
            </w:tcBorders>
          </w:tcPr>
          <w:p w14:paraId="30E5143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4,482</w:t>
            </w:r>
          </w:p>
        </w:tc>
        <w:tc>
          <w:tcPr>
            <w:tcW w:w="1343" w:type="dxa"/>
            <w:tcBorders>
              <w:top w:val="single" w:sz="6" w:space="0" w:color="auto"/>
              <w:left w:val="single" w:sz="6" w:space="0" w:color="auto"/>
              <w:bottom w:val="single" w:sz="6" w:space="0" w:color="auto"/>
              <w:right w:val="single" w:sz="6" w:space="0" w:color="auto"/>
            </w:tcBorders>
          </w:tcPr>
          <w:p w14:paraId="5F45972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17.2</w:t>
            </w:r>
          </w:p>
        </w:tc>
        <w:tc>
          <w:tcPr>
            <w:tcW w:w="1344" w:type="dxa"/>
            <w:tcBorders>
              <w:top w:val="single" w:sz="6" w:space="0" w:color="auto"/>
              <w:left w:val="single" w:sz="6" w:space="0" w:color="auto"/>
              <w:bottom w:val="single" w:sz="6" w:space="0" w:color="auto"/>
              <w:right w:val="single" w:sz="6" w:space="0" w:color="auto"/>
            </w:tcBorders>
          </w:tcPr>
          <w:p w14:paraId="0BC4F28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2,301</w:t>
            </w:r>
          </w:p>
        </w:tc>
        <w:tc>
          <w:tcPr>
            <w:tcW w:w="1343" w:type="dxa"/>
            <w:tcBorders>
              <w:top w:val="single" w:sz="6" w:space="0" w:color="auto"/>
              <w:left w:val="single" w:sz="6" w:space="0" w:color="auto"/>
              <w:bottom w:val="single" w:sz="6" w:space="0" w:color="auto"/>
              <w:right w:val="single" w:sz="6" w:space="0" w:color="auto"/>
            </w:tcBorders>
          </w:tcPr>
          <w:p w14:paraId="1D99482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8.8</w:t>
            </w:r>
          </w:p>
        </w:tc>
        <w:tc>
          <w:tcPr>
            <w:tcW w:w="1344" w:type="dxa"/>
            <w:tcBorders>
              <w:top w:val="single" w:sz="6" w:space="0" w:color="auto"/>
              <w:left w:val="single" w:sz="6" w:space="0" w:color="auto"/>
              <w:bottom w:val="single" w:sz="6" w:space="0" w:color="auto"/>
              <w:right w:val="single" w:sz="6" w:space="0" w:color="auto"/>
            </w:tcBorders>
          </w:tcPr>
          <w:p w14:paraId="1C72374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26,021</w:t>
            </w:r>
          </w:p>
        </w:tc>
      </w:tr>
    </w:tbl>
    <w:p w14:paraId="159DDE30" w14:textId="6E9EBA17" w:rsidR="00C50A05" w:rsidRPr="00392E0D" w:rsidRDefault="00C50A05" w:rsidP="00C50A0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86</w:t>
      </w:r>
      <w:r w:rsidRPr="00392E0D">
        <w:rPr>
          <w:rFonts w:cs="Arial"/>
        </w:rPr>
        <w:fldChar w:fldCharType="end"/>
      </w:r>
      <w:r w:rsidRPr="00392E0D">
        <w:rPr>
          <w:rFonts w:cs="Arial"/>
        </w:rPr>
        <w:tab/>
      </w:r>
      <w:r w:rsidRPr="00392E0D">
        <w:rPr>
          <w:rFonts w:eastAsiaTheme="minorHAnsi" w:cs="Arial"/>
          <w:lang w:val="en-AU"/>
        </w:rPr>
        <w:t>Western Australia trends (2009 – 2021) – Language and cognitive skills (school-based)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C50A05" w:rsidRPr="00392E0D" w14:paraId="6DD294AE"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230BBDF4" w14:textId="77777777" w:rsidR="00C50A05" w:rsidRPr="00392E0D" w:rsidRDefault="00C50A05" w:rsidP="000332EB">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1482F2E4" w14:textId="00BD7EF9"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7EACBF9C" w14:textId="63AA5DDE"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443FB902" w14:textId="42C3D75F"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5BA96CF3" w14:textId="65B98416"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0DC57D59" w14:textId="2A6AA699"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6C66755A" w14:textId="2A5568E4"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31B0FC7A" w14:textId="66067848"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C50A05" w:rsidRPr="00392E0D" w14:paraId="171C7EE8"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429ED88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62E5ED6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27,779</w:t>
            </w:r>
          </w:p>
        </w:tc>
        <w:tc>
          <w:tcPr>
            <w:tcW w:w="1343" w:type="dxa"/>
            <w:tcBorders>
              <w:top w:val="single" w:sz="6" w:space="0" w:color="auto"/>
              <w:left w:val="single" w:sz="6" w:space="0" w:color="auto"/>
              <w:bottom w:val="single" w:sz="6" w:space="0" w:color="auto"/>
              <w:right w:val="single" w:sz="6" w:space="0" w:color="auto"/>
            </w:tcBorders>
          </w:tcPr>
          <w:p w14:paraId="29D0E53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82.3</w:t>
            </w:r>
          </w:p>
        </w:tc>
        <w:tc>
          <w:tcPr>
            <w:tcW w:w="1344" w:type="dxa"/>
            <w:tcBorders>
              <w:top w:val="single" w:sz="6" w:space="0" w:color="auto"/>
              <w:left w:val="single" w:sz="6" w:space="0" w:color="auto"/>
              <w:bottom w:val="single" w:sz="6" w:space="0" w:color="auto"/>
              <w:right w:val="single" w:sz="6" w:space="0" w:color="auto"/>
            </w:tcBorders>
          </w:tcPr>
          <w:p w14:paraId="4DF5C77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3,556</w:t>
            </w:r>
          </w:p>
        </w:tc>
        <w:tc>
          <w:tcPr>
            <w:tcW w:w="1343" w:type="dxa"/>
            <w:tcBorders>
              <w:top w:val="single" w:sz="6" w:space="0" w:color="auto"/>
              <w:left w:val="single" w:sz="6" w:space="0" w:color="auto"/>
              <w:bottom w:val="single" w:sz="6" w:space="0" w:color="auto"/>
              <w:right w:val="single" w:sz="6" w:space="0" w:color="auto"/>
            </w:tcBorders>
          </w:tcPr>
          <w:p w14:paraId="68F3112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c>
          <w:tcPr>
            <w:tcW w:w="1344" w:type="dxa"/>
            <w:tcBorders>
              <w:top w:val="single" w:sz="6" w:space="0" w:color="auto"/>
              <w:left w:val="single" w:sz="6" w:space="0" w:color="auto"/>
              <w:bottom w:val="single" w:sz="6" w:space="0" w:color="auto"/>
              <w:right w:val="single" w:sz="6" w:space="0" w:color="auto"/>
            </w:tcBorders>
          </w:tcPr>
          <w:p w14:paraId="4FE6D47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2,416</w:t>
            </w:r>
          </w:p>
        </w:tc>
        <w:tc>
          <w:tcPr>
            <w:tcW w:w="1343" w:type="dxa"/>
            <w:tcBorders>
              <w:top w:val="single" w:sz="6" w:space="0" w:color="auto"/>
              <w:left w:val="single" w:sz="6" w:space="0" w:color="auto"/>
              <w:bottom w:val="single" w:sz="6" w:space="0" w:color="auto"/>
              <w:right w:val="single" w:sz="6" w:space="0" w:color="auto"/>
            </w:tcBorders>
          </w:tcPr>
          <w:p w14:paraId="6571F9B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w:t>
            </w:r>
          </w:p>
        </w:tc>
        <w:tc>
          <w:tcPr>
            <w:tcW w:w="1344" w:type="dxa"/>
            <w:tcBorders>
              <w:top w:val="single" w:sz="6" w:space="0" w:color="auto"/>
              <w:left w:val="single" w:sz="6" w:space="0" w:color="auto"/>
              <w:bottom w:val="single" w:sz="6" w:space="0" w:color="auto"/>
              <w:right w:val="single" w:sz="6" w:space="0" w:color="auto"/>
            </w:tcBorders>
          </w:tcPr>
          <w:p w14:paraId="6086314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33,751</w:t>
            </w:r>
          </w:p>
        </w:tc>
      </w:tr>
      <w:tr w:rsidR="00C50A05" w:rsidRPr="00392E0D" w14:paraId="40B13523"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3B3D3A2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36ED135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27,418</w:t>
            </w:r>
          </w:p>
        </w:tc>
        <w:tc>
          <w:tcPr>
            <w:tcW w:w="1343" w:type="dxa"/>
            <w:tcBorders>
              <w:top w:val="single" w:sz="6" w:space="0" w:color="auto"/>
              <w:left w:val="single" w:sz="6" w:space="0" w:color="auto"/>
              <w:bottom w:val="single" w:sz="6" w:space="0" w:color="auto"/>
              <w:right w:val="single" w:sz="6" w:space="0" w:color="auto"/>
            </w:tcBorders>
          </w:tcPr>
          <w:p w14:paraId="400C697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83.4</w:t>
            </w:r>
          </w:p>
        </w:tc>
        <w:tc>
          <w:tcPr>
            <w:tcW w:w="1344" w:type="dxa"/>
            <w:tcBorders>
              <w:top w:val="single" w:sz="6" w:space="0" w:color="auto"/>
              <w:left w:val="single" w:sz="6" w:space="0" w:color="auto"/>
              <w:bottom w:val="single" w:sz="6" w:space="0" w:color="auto"/>
              <w:right w:val="single" w:sz="6" w:space="0" w:color="auto"/>
            </w:tcBorders>
          </w:tcPr>
          <w:p w14:paraId="3735F6A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3,284</w:t>
            </w:r>
          </w:p>
        </w:tc>
        <w:tc>
          <w:tcPr>
            <w:tcW w:w="1343" w:type="dxa"/>
            <w:tcBorders>
              <w:top w:val="single" w:sz="6" w:space="0" w:color="auto"/>
              <w:left w:val="single" w:sz="6" w:space="0" w:color="auto"/>
              <w:bottom w:val="single" w:sz="6" w:space="0" w:color="auto"/>
              <w:right w:val="single" w:sz="6" w:space="0" w:color="auto"/>
            </w:tcBorders>
          </w:tcPr>
          <w:p w14:paraId="2C44665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10.0</w:t>
            </w:r>
          </w:p>
        </w:tc>
        <w:tc>
          <w:tcPr>
            <w:tcW w:w="1344" w:type="dxa"/>
            <w:tcBorders>
              <w:top w:val="single" w:sz="6" w:space="0" w:color="auto"/>
              <w:left w:val="single" w:sz="6" w:space="0" w:color="auto"/>
              <w:bottom w:val="single" w:sz="6" w:space="0" w:color="auto"/>
              <w:right w:val="single" w:sz="6" w:space="0" w:color="auto"/>
            </w:tcBorders>
          </w:tcPr>
          <w:p w14:paraId="57180E1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2,158</w:t>
            </w:r>
          </w:p>
        </w:tc>
        <w:tc>
          <w:tcPr>
            <w:tcW w:w="1343" w:type="dxa"/>
            <w:tcBorders>
              <w:top w:val="single" w:sz="6" w:space="0" w:color="auto"/>
              <w:left w:val="single" w:sz="6" w:space="0" w:color="auto"/>
              <w:bottom w:val="single" w:sz="6" w:space="0" w:color="auto"/>
              <w:right w:val="single" w:sz="6" w:space="0" w:color="auto"/>
            </w:tcBorders>
          </w:tcPr>
          <w:p w14:paraId="50E1A8C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w:t>
            </w:r>
          </w:p>
        </w:tc>
        <w:tc>
          <w:tcPr>
            <w:tcW w:w="1344" w:type="dxa"/>
            <w:tcBorders>
              <w:top w:val="single" w:sz="6" w:space="0" w:color="auto"/>
              <w:left w:val="single" w:sz="6" w:space="0" w:color="auto"/>
              <w:bottom w:val="single" w:sz="6" w:space="0" w:color="auto"/>
              <w:right w:val="single" w:sz="6" w:space="0" w:color="auto"/>
            </w:tcBorders>
          </w:tcPr>
          <w:p w14:paraId="7C14B00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32,860</w:t>
            </w:r>
          </w:p>
        </w:tc>
      </w:tr>
      <w:tr w:rsidR="00C50A05" w:rsidRPr="00392E0D" w14:paraId="59EE8985"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695055A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49F2F4F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26,857</w:t>
            </w:r>
          </w:p>
        </w:tc>
        <w:tc>
          <w:tcPr>
            <w:tcW w:w="1343" w:type="dxa"/>
            <w:tcBorders>
              <w:top w:val="single" w:sz="6" w:space="0" w:color="auto"/>
              <w:left w:val="single" w:sz="6" w:space="0" w:color="auto"/>
              <w:bottom w:val="single" w:sz="6" w:space="0" w:color="auto"/>
              <w:right w:val="single" w:sz="6" w:space="0" w:color="auto"/>
            </w:tcBorders>
          </w:tcPr>
          <w:p w14:paraId="08AD310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82.7</w:t>
            </w:r>
          </w:p>
        </w:tc>
        <w:tc>
          <w:tcPr>
            <w:tcW w:w="1344" w:type="dxa"/>
            <w:tcBorders>
              <w:top w:val="single" w:sz="6" w:space="0" w:color="auto"/>
              <w:left w:val="single" w:sz="6" w:space="0" w:color="auto"/>
              <w:bottom w:val="single" w:sz="6" w:space="0" w:color="auto"/>
              <w:right w:val="single" w:sz="6" w:space="0" w:color="auto"/>
            </w:tcBorders>
          </w:tcPr>
          <w:p w14:paraId="773FA0D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3,449</w:t>
            </w:r>
          </w:p>
        </w:tc>
        <w:tc>
          <w:tcPr>
            <w:tcW w:w="1343" w:type="dxa"/>
            <w:tcBorders>
              <w:top w:val="single" w:sz="6" w:space="0" w:color="auto"/>
              <w:left w:val="single" w:sz="6" w:space="0" w:color="auto"/>
              <w:bottom w:val="single" w:sz="6" w:space="0" w:color="auto"/>
              <w:right w:val="single" w:sz="6" w:space="0" w:color="auto"/>
            </w:tcBorders>
          </w:tcPr>
          <w:p w14:paraId="5F09CE7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w:t>
            </w:r>
          </w:p>
        </w:tc>
        <w:tc>
          <w:tcPr>
            <w:tcW w:w="1344" w:type="dxa"/>
            <w:tcBorders>
              <w:top w:val="single" w:sz="6" w:space="0" w:color="auto"/>
              <w:left w:val="single" w:sz="6" w:space="0" w:color="auto"/>
              <w:bottom w:val="single" w:sz="6" w:space="0" w:color="auto"/>
              <w:right w:val="single" w:sz="6" w:space="0" w:color="auto"/>
            </w:tcBorders>
          </w:tcPr>
          <w:p w14:paraId="16418E6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2,153</w:t>
            </w:r>
          </w:p>
        </w:tc>
        <w:tc>
          <w:tcPr>
            <w:tcW w:w="1343" w:type="dxa"/>
            <w:tcBorders>
              <w:top w:val="single" w:sz="6" w:space="0" w:color="auto"/>
              <w:left w:val="single" w:sz="6" w:space="0" w:color="auto"/>
              <w:bottom w:val="single" w:sz="6" w:space="0" w:color="auto"/>
              <w:right w:val="single" w:sz="6" w:space="0" w:color="auto"/>
            </w:tcBorders>
          </w:tcPr>
          <w:p w14:paraId="6C00FEF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w:t>
            </w:r>
          </w:p>
        </w:tc>
        <w:tc>
          <w:tcPr>
            <w:tcW w:w="1344" w:type="dxa"/>
            <w:tcBorders>
              <w:top w:val="single" w:sz="6" w:space="0" w:color="auto"/>
              <w:left w:val="single" w:sz="6" w:space="0" w:color="auto"/>
              <w:bottom w:val="single" w:sz="6" w:space="0" w:color="auto"/>
              <w:right w:val="single" w:sz="6" w:space="0" w:color="auto"/>
            </w:tcBorders>
          </w:tcPr>
          <w:p w14:paraId="7D41A1F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32,459</w:t>
            </w:r>
          </w:p>
        </w:tc>
      </w:tr>
      <w:tr w:rsidR="00C50A05" w:rsidRPr="00392E0D" w14:paraId="57BCFD92"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2F1E8D9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422B486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23,346</w:t>
            </w:r>
          </w:p>
        </w:tc>
        <w:tc>
          <w:tcPr>
            <w:tcW w:w="1343" w:type="dxa"/>
            <w:tcBorders>
              <w:top w:val="single" w:sz="6" w:space="0" w:color="auto"/>
              <w:left w:val="single" w:sz="6" w:space="0" w:color="auto"/>
              <w:bottom w:val="single" w:sz="6" w:space="0" w:color="auto"/>
              <w:right w:val="single" w:sz="6" w:space="0" w:color="auto"/>
            </w:tcBorders>
          </w:tcPr>
          <w:p w14:paraId="118664A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75.8</w:t>
            </w:r>
          </w:p>
        </w:tc>
        <w:tc>
          <w:tcPr>
            <w:tcW w:w="1344" w:type="dxa"/>
            <w:tcBorders>
              <w:top w:val="single" w:sz="6" w:space="0" w:color="auto"/>
              <w:left w:val="single" w:sz="6" w:space="0" w:color="auto"/>
              <w:bottom w:val="single" w:sz="6" w:space="0" w:color="auto"/>
              <w:right w:val="single" w:sz="6" w:space="0" w:color="auto"/>
            </w:tcBorders>
          </w:tcPr>
          <w:p w14:paraId="6BCF1E9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4,816</w:t>
            </w:r>
          </w:p>
        </w:tc>
        <w:tc>
          <w:tcPr>
            <w:tcW w:w="1343" w:type="dxa"/>
            <w:tcBorders>
              <w:top w:val="single" w:sz="6" w:space="0" w:color="auto"/>
              <w:left w:val="single" w:sz="6" w:space="0" w:color="auto"/>
              <w:bottom w:val="single" w:sz="6" w:space="0" w:color="auto"/>
              <w:right w:val="single" w:sz="6" w:space="0" w:color="auto"/>
            </w:tcBorders>
          </w:tcPr>
          <w:p w14:paraId="03D5B09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344" w:type="dxa"/>
            <w:tcBorders>
              <w:top w:val="single" w:sz="6" w:space="0" w:color="auto"/>
              <w:left w:val="single" w:sz="6" w:space="0" w:color="auto"/>
              <w:bottom w:val="single" w:sz="6" w:space="0" w:color="auto"/>
              <w:right w:val="single" w:sz="6" w:space="0" w:color="auto"/>
            </w:tcBorders>
          </w:tcPr>
          <w:p w14:paraId="37E3948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2,636</w:t>
            </w:r>
          </w:p>
        </w:tc>
        <w:tc>
          <w:tcPr>
            <w:tcW w:w="1343" w:type="dxa"/>
            <w:tcBorders>
              <w:top w:val="single" w:sz="6" w:space="0" w:color="auto"/>
              <w:left w:val="single" w:sz="6" w:space="0" w:color="auto"/>
              <w:bottom w:val="single" w:sz="6" w:space="0" w:color="auto"/>
              <w:right w:val="single" w:sz="6" w:space="0" w:color="auto"/>
            </w:tcBorders>
          </w:tcPr>
          <w:p w14:paraId="30C6B1F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8.6</w:t>
            </w:r>
          </w:p>
        </w:tc>
        <w:tc>
          <w:tcPr>
            <w:tcW w:w="1344" w:type="dxa"/>
            <w:tcBorders>
              <w:top w:val="single" w:sz="6" w:space="0" w:color="auto"/>
              <w:left w:val="single" w:sz="6" w:space="0" w:color="auto"/>
              <w:bottom w:val="single" w:sz="6" w:space="0" w:color="auto"/>
              <w:right w:val="single" w:sz="6" w:space="0" w:color="auto"/>
            </w:tcBorders>
          </w:tcPr>
          <w:p w14:paraId="51A5911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30,798</w:t>
            </w:r>
          </w:p>
        </w:tc>
      </w:tr>
      <w:tr w:rsidR="00C50A05" w:rsidRPr="00392E0D" w14:paraId="1E1B55A5"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0858A36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4B82813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17,536</w:t>
            </w:r>
          </w:p>
        </w:tc>
        <w:tc>
          <w:tcPr>
            <w:tcW w:w="1343" w:type="dxa"/>
            <w:tcBorders>
              <w:top w:val="single" w:sz="6" w:space="0" w:color="auto"/>
              <w:left w:val="single" w:sz="6" w:space="0" w:color="auto"/>
              <w:bottom w:val="single" w:sz="6" w:space="0" w:color="auto"/>
              <w:right w:val="single" w:sz="6" w:space="0" w:color="auto"/>
            </w:tcBorders>
          </w:tcPr>
          <w:p w14:paraId="68A2DA3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67.2</w:t>
            </w:r>
          </w:p>
        </w:tc>
        <w:tc>
          <w:tcPr>
            <w:tcW w:w="1344" w:type="dxa"/>
            <w:tcBorders>
              <w:top w:val="single" w:sz="6" w:space="0" w:color="auto"/>
              <w:left w:val="single" w:sz="6" w:space="0" w:color="auto"/>
              <w:bottom w:val="single" w:sz="6" w:space="0" w:color="auto"/>
              <w:right w:val="single" w:sz="6" w:space="0" w:color="auto"/>
            </w:tcBorders>
          </w:tcPr>
          <w:p w14:paraId="4A9955C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5,411</w:t>
            </w:r>
          </w:p>
        </w:tc>
        <w:tc>
          <w:tcPr>
            <w:tcW w:w="1343" w:type="dxa"/>
            <w:tcBorders>
              <w:top w:val="single" w:sz="6" w:space="0" w:color="auto"/>
              <w:left w:val="single" w:sz="6" w:space="0" w:color="auto"/>
              <w:bottom w:val="single" w:sz="6" w:space="0" w:color="auto"/>
              <w:right w:val="single" w:sz="6" w:space="0" w:color="auto"/>
            </w:tcBorders>
          </w:tcPr>
          <w:p w14:paraId="777C942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20.7</w:t>
            </w:r>
          </w:p>
        </w:tc>
        <w:tc>
          <w:tcPr>
            <w:tcW w:w="1344" w:type="dxa"/>
            <w:tcBorders>
              <w:top w:val="single" w:sz="6" w:space="0" w:color="auto"/>
              <w:left w:val="single" w:sz="6" w:space="0" w:color="auto"/>
              <w:bottom w:val="single" w:sz="6" w:space="0" w:color="auto"/>
              <w:right w:val="single" w:sz="6" w:space="0" w:color="auto"/>
            </w:tcBorders>
          </w:tcPr>
          <w:p w14:paraId="014D56D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3,132</w:t>
            </w:r>
          </w:p>
        </w:tc>
        <w:tc>
          <w:tcPr>
            <w:tcW w:w="1343" w:type="dxa"/>
            <w:tcBorders>
              <w:top w:val="single" w:sz="6" w:space="0" w:color="auto"/>
              <w:left w:val="single" w:sz="6" w:space="0" w:color="auto"/>
              <w:bottom w:val="single" w:sz="6" w:space="0" w:color="auto"/>
              <w:right w:val="single" w:sz="6" w:space="0" w:color="auto"/>
            </w:tcBorders>
          </w:tcPr>
          <w:p w14:paraId="0F0A584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12.0</w:t>
            </w:r>
          </w:p>
        </w:tc>
        <w:tc>
          <w:tcPr>
            <w:tcW w:w="1344" w:type="dxa"/>
            <w:tcBorders>
              <w:top w:val="single" w:sz="6" w:space="0" w:color="auto"/>
              <w:left w:val="single" w:sz="6" w:space="0" w:color="auto"/>
              <w:bottom w:val="single" w:sz="6" w:space="0" w:color="auto"/>
              <w:right w:val="single" w:sz="6" w:space="0" w:color="auto"/>
            </w:tcBorders>
          </w:tcPr>
          <w:p w14:paraId="1AEA005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26,079</w:t>
            </w:r>
          </w:p>
        </w:tc>
      </w:tr>
    </w:tbl>
    <w:p w14:paraId="5CD2AB59" w14:textId="20C71CB1" w:rsidR="00C50A05" w:rsidRPr="00392E0D" w:rsidRDefault="00C50A05" w:rsidP="00C50A05">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87</w:t>
      </w:r>
      <w:r w:rsidRPr="00392E0D">
        <w:rPr>
          <w:rFonts w:cs="Arial"/>
        </w:rPr>
        <w:fldChar w:fldCharType="end"/>
      </w:r>
      <w:r w:rsidRPr="00392E0D">
        <w:rPr>
          <w:rFonts w:cs="Arial"/>
        </w:rPr>
        <w:tab/>
      </w:r>
      <w:r w:rsidRPr="00392E0D">
        <w:rPr>
          <w:rFonts w:eastAsiaTheme="minorHAnsi" w:cs="Arial"/>
        </w:rPr>
        <w:t>Western Australia trends (2009 – 2021) – Communication skills and general knowledge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C50A05" w:rsidRPr="00392E0D" w14:paraId="2B58DA68" w14:textId="77777777" w:rsidTr="004347F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1A24A682" w14:textId="77777777" w:rsidR="00C50A05" w:rsidRPr="00392E0D" w:rsidRDefault="00C50A05" w:rsidP="000332EB">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0B148459" w14:textId="57731BC2"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2D2609DF" w14:textId="7F0EFD0A"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27558B0D" w14:textId="2A3DC97F"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17C43FCD" w14:textId="6ADF127F"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ED05949" w14:textId="3D64B07A"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79FE4019" w14:textId="6B0587C0" w:rsidR="00C50A05" w:rsidRPr="00392E0D" w:rsidRDefault="00ED2465"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C50A0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29EE0594" w14:textId="644D5641" w:rsidR="00C50A05" w:rsidRPr="00392E0D" w:rsidRDefault="009B7612" w:rsidP="000332E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C50A05" w:rsidRPr="00392E0D" w14:paraId="3BA04BD8"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0ABF80E1"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6FBFFAF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26,822</w:t>
            </w:r>
          </w:p>
        </w:tc>
        <w:tc>
          <w:tcPr>
            <w:tcW w:w="1343" w:type="dxa"/>
            <w:tcBorders>
              <w:top w:val="single" w:sz="6" w:space="0" w:color="auto"/>
              <w:left w:val="single" w:sz="6" w:space="0" w:color="auto"/>
              <w:bottom w:val="single" w:sz="6" w:space="0" w:color="auto"/>
              <w:right w:val="single" w:sz="6" w:space="0" w:color="auto"/>
            </w:tcBorders>
          </w:tcPr>
          <w:p w14:paraId="330B137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79.3</w:t>
            </w:r>
          </w:p>
        </w:tc>
        <w:tc>
          <w:tcPr>
            <w:tcW w:w="1344" w:type="dxa"/>
            <w:tcBorders>
              <w:top w:val="single" w:sz="6" w:space="0" w:color="auto"/>
              <w:left w:val="single" w:sz="6" w:space="0" w:color="auto"/>
              <w:bottom w:val="single" w:sz="6" w:space="0" w:color="auto"/>
              <w:right w:val="single" w:sz="6" w:space="0" w:color="auto"/>
            </w:tcBorders>
          </w:tcPr>
          <w:p w14:paraId="4AF7B31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4,266</w:t>
            </w:r>
          </w:p>
        </w:tc>
        <w:tc>
          <w:tcPr>
            <w:tcW w:w="1343" w:type="dxa"/>
            <w:tcBorders>
              <w:top w:val="single" w:sz="6" w:space="0" w:color="auto"/>
              <w:left w:val="single" w:sz="6" w:space="0" w:color="auto"/>
              <w:bottom w:val="single" w:sz="6" w:space="0" w:color="auto"/>
              <w:right w:val="single" w:sz="6" w:space="0" w:color="auto"/>
            </w:tcBorders>
          </w:tcPr>
          <w:p w14:paraId="1B9E964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12.6</w:t>
            </w:r>
          </w:p>
        </w:tc>
        <w:tc>
          <w:tcPr>
            <w:tcW w:w="1344" w:type="dxa"/>
            <w:tcBorders>
              <w:top w:val="single" w:sz="6" w:space="0" w:color="auto"/>
              <w:left w:val="single" w:sz="6" w:space="0" w:color="auto"/>
              <w:bottom w:val="single" w:sz="6" w:space="0" w:color="auto"/>
              <w:right w:val="single" w:sz="6" w:space="0" w:color="auto"/>
            </w:tcBorders>
          </w:tcPr>
          <w:p w14:paraId="2DF7231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2,717</w:t>
            </w:r>
          </w:p>
        </w:tc>
        <w:tc>
          <w:tcPr>
            <w:tcW w:w="1343" w:type="dxa"/>
            <w:tcBorders>
              <w:top w:val="single" w:sz="6" w:space="0" w:color="auto"/>
              <w:left w:val="single" w:sz="6" w:space="0" w:color="auto"/>
              <w:bottom w:val="single" w:sz="6" w:space="0" w:color="auto"/>
              <w:right w:val="single" w:sz="6" w:space="0" w:color="auto"/>
            </w:tcBorders>
          </w:tcPr>
          <w:p w14:paraId="7D09FD4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w:t>
            </w:r>
          </w:p>
        </w:tc>
        <w:tc>
          <w:tcPr>
            <w:tcW w:w="1344" w:type="dxa"/>
            <w:tcBorders>
              <w:top w:val="single" w:sz="6" w:space="0" w:color="auto"/>
              <w:left w:val="single" w:sz="6" w:space="0" w:color="auto"/>
              <w:bottom w:val="single" w:sz="6" w:space="0" w:color="auto"/>
              <w:right w:val="single" w:sz="6" w:space="0" w:color="auto"/>
            </w:tcBorders>
          </w:tcPr>
          <w:p w14:paraId="0346510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33,805</w:t>
            </w:r>
          </w:p>
        </w:tc>
      </w:tr>
      <w:tr w:rsidR="00C50A05" w:rsidRPr="00392E0D" w14:paraId="54033361"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0F8A7B6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4EAE134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26,749</w:t>
            </w:r>
          </w:p>
        </w:tc>
        <w:tc>
          <w:tcPr>
            <w:tcW w:w="1343" w:type="dxa"/>
            <w:tcBorders>
              <w:top w:val="single" w:sz="6" w:space="0" w:color="auto"/>
              <w:left w:val="single" w:sz="6" w:space="0" w:color="auto"/>
              <w:bottom w:val="single" w:sz="6" w:space="0" w:color="auto"/>
              <w:right w:val="single" w:sz="6" w:space="0" w:color="auto"/>
            </w:tcBorders>
          </w:tcPr>
          <w:p w14:paraId="0725C53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81.3</w:t>
            </w:r>
          </w:p>
        </w:tc>
        <w:tc>
          <w:tcPr>
            <w:tcW w:w="1344" w:type="dxa"/>
            <w:tcBorders>
              <w:top w:val="single" w:sz="6" w:space="0" w:color="auto"/>
              <w:left w:val="single" w:sz="6" w:space="0" w:color="auto"/>
              <w:bottom w:val="single" w:sz="6" w:space="0" w:color="auto"/>
              <w:right w:val="single" w:sz="6" w:space="0" w:color="auto"/>
            </w:tcBorders>
          </w:tcPr>
          <w:p w14:paraId="4F0A7FB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3,837</w:t>
            </w:r>
          </w:p>
        </w:tc>
        <w:tc>
          <w:tcPr>
            <w:tcW w:w="1343" w:type="dxa"/>
            <w:tcBorders>
              <w:top w:val="single" w:sz="6" w:space="0" w:color="auto"/>
              <w:left w:val="single" w:sz="6" w:space="0" w:color="auto"/>
              <w:bottom w:val="single" w:sz="6" w:space="0" w:color="auto"/>
              <w:right w:val="single" w:sz="6" w:space="0" w:color="auto"/>
            </w:tcBorders>
          </w:tcPr>
          <w:p w14:paraId="60D2F2B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11.7</w:t>
            </w:r>
          </w:p>
        </w:tc>
        <w:tc>
          <w:tcPr>
            <w:tcW w:w="1344" w:type="dxa"/>
            <w:tcBorders>
              <w:top w:val="single" w:sz="6" w:space="0" w:color="auto"/>
              <w:left w:val="single" w:sz="6" w:space="0" w:color="auto"/>
              <w:bottom w:val="single" w:sz="6" w:space="0" w:color="auto"/>
              <w:right w:val="single" w:sz="6" w:space="0" w:color="auto"/>
            </w:tcBorders>
          </w:tcPr>
          <w:p w14:paraId="17B7134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2,311</w:t>
            </w:r>
          </w:p>
        </w:tc>
        <w:tc>
          <w:tcPr>
            <w:tcW w:w="1343" w:type="dxa"/>
            <w:tcBorders>
              <w:top w:val="single" w:sz="6" w:space="0" w:color="auto"/>
              <w:left w:val="single" w:sz="6" w:space="0" w:color="auto"/>
              <w:bottom w:val="single" w:sz="6" w:space="0" w:color="auto"/>
              <w:right w:val="single" w:sz="6" w:space="0" w:color="auto"/>
            </w:tcBorders>
          </w:tcPr>
          <w:p w14:paraId="656B63B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w:t>
            </w:r>
          </w:p>
        </w:tc>
        <w:tc>
          <w:tcPr>
            <w:tcW w:w="1344" w:type="dxa"/>
            <w:tcBorders>
              <w:top w:val="single" w:sz="6" w:space="0" w:color="auto"/>
              <w:left w:val="single" w:sz="6" w:space="0" w:color="auto"/>
              <w:bottom w:val="single" w:sz="6" w:space="0" w:color="auto"/>
              <w:right w:val="single" w:sz="6" w:space="0" w:color="auto"/>
            </w:tcBorders>
          </w:tcPr>
          <w:p w14:paraId="63DDEE1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32,897</w:t>
            </w:r>
          </w:p>
        </w:tc>
      </w:tr>
      <w:tr w:rsidR="00C50A05" w:rsidRPr="00392E0D" w14:paraId="146F74F6"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19D70055"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68348C8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25,811</w:t>
            </w:r>
          </w:p>
        </w:tc>
        <w:tc>
          <w:tcPr>
            <w:tcW w:w="1343" w:type="dxa"/>
            <w:tcBorders>
              <w:top w:val="single" w:sz="6" w:space="0" w:color="auto"/>
              <w:left w:val="single" w:sz="6" w:space="0" w:color="auto"/>
              <w:bottom w:val="single" w:sz="6" w:space="0" w:color="auto"/>
              <w:right w:val="single" w:sz="6" w:space="0" w:color="auto"/>
            </w:tcBorders>
          </w:tcPr>
          <w:p w14:paraId="42FFF41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79.4</w:t>
            </w:r>
          </w:p>
        </w:tc>
        <w:tc>
          <w:tcPr>
            <w:tcW w:w="1344" w:type="dxa"/>
            <w:tcBorders>
              <w:top w:val="single" w:sz="6" w:space="0" w:color="auto"/>
              <w:left w:val="single" w:sz="6" w:space="0" w:color="auto"/>
              <w:bottom w:val="single" w:sz="6" w:space="0" w:color="auto"/>
              <w:right w:val="single" w:sz="6" w:space="0" w:color="auto"/>
            </w:tcBorders>
          </w:tcPr>
          <w:p w14:paraId="70447A3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4,082</w:t>
            </w:r>
          </w:p>
        </w:tc>
        <w:tc>
          <w:tcPr>
            <w:tcW w:w="1343" w:type="dxa"/>
            <w:tcBorders>
              <w:top w:val="single" w:sz="6" w:space="0" w:color="auto"/>
              <w:left w:val="single" w:sz="6" w:space="0" w:color="auto"/>
              <w:bottom w:val="single" w:sz="6" w:space="0" w:color="auto"/>
              <w:right w:val="single" w:sz="6" w:space="0" w:color="auto"/>
            </w:tcBorders>
          </w:tcPr>
          <w:p w14:paraId="0E11519F"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12.6</w:t>
            </w:r>
          </w:p>
        </w:tc>
        <w:tc>
          <w:tcPr>
            <w:tcW w:w="1344" w:type="dxa"/>
            <w:tcBorders>
              <w:top w:val="single" w:sz="6" w:space="0" w:color="auto"/>
              <w:left w:val="single" w:sz="6" w:space="0" w:color="auto"/>
              <w:bottom w:val="single" w:sz="6" w:space="0" w:color="auto"/>
              <w:right w:val="single" w:sz="6" w:space="0" w:color="auto"/>
            </w:tcBorders>
          </w:tcPr>
          <w:p w14:paraId="4974F8B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2,612</w:t>
            </w:r>
          </w:p>
        </w:tc>
        <w:tc>
          <w:tcPr>
            <w:tcW w:w="1343" w:type="dxa"/>
            <w:tcBorders>
              <w:top w:val="single" w:sz="6" w:space="0" w:color="auto"/>
              <w:left w:val="single" w:sz="6" w:space="0" w:color="auto"/>
              <w:bottom w:val="single" w:sz="6" w:space="0" w:color="auto"/>
              <w:right w:val="single" w:sz="6" w:space="0" w:color="auto"/>
            </w:tcBorders>
          </w:tcPr>
          <w:p w14:paraId="27771213"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w:t>
            </w:r>
          </w:p>
        </w:tc>
        <w:tc>
          <w:tcPr>
            <w:tcW w:w="1344" w:type="dxa"/>
            <w:tcBorders>
              <w:top w:val="single" w:sz="6" w:space="0" w:color="auto"/>
              <w:left w:val="single" w:sz="6" w:space="0" w:color="auto"/>
              <w:bottom w:val="single" w:sz="6" w:space="0" w:color="auto"/>
              <w:right w:val="single" w:sz="6" w:space="0" w:color="auto"/>
            </w:tcBorders>
          </w:tcPr>
          <w:p w14:paraId="1DFD2B36"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32,505</w:t>
            </w:r>
          </w:p>
        </w:tc>
      </w:tr>
      <w:tr w:rsidR="00C50A05" w:rsidRPr="00392E0D" w14:paraId="1B568389"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12E6B9A4"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386C8BDD"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23,643</w:t>
            </w:r>
          </w:p>
        </w:tc>
        <w:tc>
          <w:tcPr>
            <w:tcW w:w="1343" w:type="dxa"/>
            <w:tcBorders>
              <w:top w:val="single" w:sz="6" w:space="0" w:color="auto"/>
              <w:left w:val="single" w:sz="6" w:space="0" w:color="auto"/>
              <w:bottom w:val="single" w:sz="6" w:space="0" w:color="auto"/>
              <w:right w:val="single" w:sz="6" w:space="0" w:color="auto"/>
            </w:tcBorders>
          </w:tcPr>
          <w:p w14:paraId="373E7B79"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76.7</w:t>
            </w:r>
          </w:p>
        </w:tc>
        <w:tc>
          <w:tcPr>
            <w:tcW w:w="1344" w:type="dxa"/>
            <w:tcBorders>
              <w:top w:val="single" w:sz="6" w:space="0" w:color="auto"/>
              <w:left w:val="single" w:sz="6" w:space="0" w:color="auto"/>
              <w:bottom w:val="single" w:sz="6" w:space="0" w:color="auto"/>
              <w:right w:val="single" w:sz="6" w:space="0" w:color="auto"/>
            </w:tcBorders>
          </w:tcPr>
          <w:p w14:paraId="731390C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4,397</w:t>
            </w:r>
          </w:p>
        </w:tc>
        <w:tc>
          <w:tcPr>
            <w:tcW w:w="1343" w:type="dxa"/>
            <w:tcBorders>
              <w:top w:val="single" w:sz="6" w:space="0" w:color="auto"/>
              <w:left w:val="single" w:sz="6" w:space="0" w:color="auto"/>
              <w:bottom w:val="single" w:sz="6" w:space="0" w:color="auto"/>
              <w:right w:val="single" w:sz="6" w:space="0" w:color="auto"/>
            </w:tcBorders>
          </w:tcPr>
          <w:p w14:paraId="50A6B2A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14.3</w:t>
            </w:r>
          </w:p>
        </w:tc>
        <w:tc>
          <w:tcPr>
            <w:tcW w:w="1344" w:type="dxa"/>
            <w:tcBorders>
              <w:top w:val="single" w:sz="6" w:space="0" w:color="auto"/>
              <w:left w:val="single" w:sz="6" w:space="0" w:color="auto"/>
              <w:bottom w:val="single" w:sz="6" w:space="0" w:color="auto"/>
              <w:right w:val="single" w:sz="6" w:space="0" w:color="auto"/>
            </w:tcBorders>
          </w:tcPr>
          <w:p w14:paraId="2620BB1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2,797</w:t>
            </w:r>
          </w:p>
        </w:tc>
        <w:tc>
          <w:tcPr>
            <w:tcW w:w="1343" w:type="dxa"/>
            <w:tcBorders>
              <w:top w:val="single" w:sz="6" w:space="0" w:color="auto"/>
              <w:left w:val="single" w:sz="6" w:space="0" w:color="auto"/>
              <w:bottom w:val="single" w:sz="6" w:space="0" w:color="auto"/>
              <w:right w:val="single" w:sz="6" w:space="0" w:color="auto"/>
            </w:tcBorders>
          </w:tcPr>
          <w:p w14:paraId="50B51B1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9.1</w:t>
            </w:r>
          </w:p>
        </w:tc>
        <w:tc>
          <w:tcPr>
            <w:tcW w:w="1344" w:type="dxa"/>
            <w:tcBorders>
              <w:top w:val="single" w:sz="6" w:space="0" w:color="auto"/>
              <w:left w:val="single" w:sz="6" w:space="0" w:color="auto"/>
              <w:bottom w:val="single" w:sz="6" w:space="0" w:color="auto"/>
              <w:right w:val="single" w:sz="6" w:space="0" w:color="auto"/>
            </w:tcBorders>
          </w:tcPr>
          <w:p w14:paraId="4EDD5018"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30,837</w:t>
            </w:r>
          </w:p>
        </w:tc>
      </w:tr>
      <w:tr w:rsidR="00C50A05" w:rsidRPr="00392E0D" w14:paraId="647678F4" w14:textId="77777777" w:rsidTr="000332EB">
        <w:trPr>
          <w:trHeight w:val="287"/>
        </w:trPr>
        <w:tc>
          <w:tcPr>
            <w:tcW w:w="974" w:type="dxa"/>
            <w:tcBorders>
              <w:top w:val="single" w:sz="6" w:space="0" w:color="auto"/>
              <w:left w:val="single" w:sz="6" w:space="0" w:color="auto"/>
              <w:bottom w:val="single" w:sz="6" w:space="0" w:color="auto"/>
              <w:right w:val="single" w:sz="6" w:space="0" w:color="auto"/>
            </w:tcBorders>
          </w:tcPr>
          <w:p w14:paraId="6100D7F0"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786902BA"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20,081</w:t>
            </w:r>
          </w:p>
        </w:tc>
        <w:tc>
          <w:tcPr>
            <w:tcW w:w="1343" w:type="dxa"/>
            <w:tcBorders>
              <w:top w:val="single" w:sz="6" w:space="0" w:color="auto"/>
              <w:left w:val="single" w:sz="6" w:space="0" w:color="auto"/>
              <w:bottom w:val="single" w:sz="6" w:space="0" w:color="auto"/>
              <w:right w:val="single" w:sz="6" w:space="0" w:color="auto"/>
            </w:tcBorders>
          </w:tcPr>
          <w:p w14:paraId="6F9A9307"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76.9</w:t>
            </w:r>
          </w:p>
        </w:tc>
        <w:tc>
          <w:tcPr>
            <w:tcW w:w="1344" w:type="dxa"/>
            <w:tcBorders>
              <w:top w:val="single" w:sz="6" w:space="0" w:color="auto"/>
              <w:left w:val="single" w:sz="6" w:space="0" w:color="auto"/>
              <w:bottom w:val="single" w:sz="6" w:space="0" w:color="auto"/>
              <w:right w:val="single" w:sz="6" w:space="0" w:color="auto"/>
            </w:tcBorders>
          </w:tcPr>
          <w:p w14:paraId="18075E52"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3,724</w:t>
            </w:r>
          </w:p>
        </w:tc>
        <w:tc>
          <w:tcPr>
            <w:tcW w:w="1343" w:type="dxa"/>
            <w:tcBorders>
              <w:top w:val="single" w:sz="6" w:space="0" w:color="auto"/>
              <w:left w:val="single" w:sz="6" w:space="0" w:color="auto"/>
              <w:bottom w:val="single" w:sz="6" w:space="0" w:color="auto"/>
              <w:right w:val="single" w:sz="6" w:space="0" w:color="auto"/>
            </w:tcBorders>
          </w:tcPr>
          <w:p w14:paraId="6DBA1D1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14.3</w:t>
            </w:r>
          </w:p>
        </w:tc>
        <w:tc>
          <w:tcPr>
            <w:tcW w:w="1344" w:type="dxa"/>
            <w:tcBorders>
              <w:top w:val="single" w:sz="6" w:space="0" w:color="auto"/>
              <w:left w:val="single" w:sz="6" w:space="0" w:color="auto"/>
              <w:bottom w:val="single" w:sz="6" w:space="0" w:color="auto"/>
              <w:right w:val="single" w:sz="6" w:space="0" w:color="auto"/>
            </w:tcBorders>
          </w:tcPr>
          <w:p w14:paraId="17FC03FC"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2,325</w:t>
            </w:r>
          </w:p>
        </w:tc>
        <w:tc>
          <w:tcPr>
            <w:tcW w:w="1343" w:type="dxa"/>
            <w:tcBorders>
              <w:top w:val="single" w:sz="6" w:space="0" w:color="auto"/>
              <w:left w:val="single" w:sz="6" w:space="0" w:color="auto"/>
              <w:bottom w:val="single" w:sz="6" w:space="0" w:color="auto"/>
              <w:right w:val="single" w:sz="6" w:space="0" w:color="auto"/>
            </w:tcBorders>
          </w:tcPr>
          <w:p w14:paraId="3A31863B"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c>
          <w:tcPr>
            <w:tcW w:w="1344" w:type="dxa"/>
            <w:tcBorders>
              <w:top w:val="single" w:sz="6" w:space="0" w:color="auto"/>
              <w:left w:val="single" w:sz="6" w:space="0" w:color="auto"/>
              <w:bottom w:val="single" w:sz="6" w:space="0" w:color="auto"/>
              <w:right w:val="single" w:sz="6" w:space="0" w:color="auto"/>
            </w:tcBorders>
          </w:tcPr>
          <w:p w14:paraId="18F75B4E" w14:textId="77777777" w:rsidR="00C50A05" w:rsidRPr="00392E0D" w:rsidRDefault="00C50A05" w:rsidP="00C50A0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26,130</w:t>
            </w:r>
          </w:p>
        </w:tc>
      </w:tr>
    </w:tbl>
    <w:p w14:paraId="524DC35C" w14:textId="70A356CE" w:rsidR="007A7E45" w:rsidRPr="00392E0D" w:rsidRDefault="007A7E45" w:rsidP="00C50A05">
      <w:pPr>
        <w:pStyle w:val="Body"/>
        <w:spacing w:before="60" w:after="60" w:line="240" w:lineRule="auto"/>
        <w:rPr>
          <w:rFonts w:cs="Arial"/>
          <w:sz w:val="20"/>
        </w:rPr>
      </w:pPr>
    </w:p>
    <w:p w14:paraId="45461C4A" w14:textId="77777777" w:rsidR="007A7E45" w:rsidRPr="00392E0D" w:rsidRDefault="007A7E45">
      <w:pPr>
        <w:widowControl/>
        <w:autoSpaceDE/>
        <w:autoSpaceDN/>
        <w:rPr>
          <w:rFonts w:ascii="Arial" w:eastAsia="Times New Roman" w:hAnsi="Arial" w:cs="Arial"/>
          <w:sz w:val="20"/>
          <w:szCs w:val="20"/>
        </w:rPr>
      </w:pPr>
      <w:r w:rsidRPr="00392E0D">
        <w:rPr>
          <w:rFonts w:ascii="Arial" w:hAnsi="Arial" w:cs="Arial"/>
          <w:sz w:val="20"/>
        </w:rPr>
        <w:br w:type="page"/>
      </w:r>
    </w:p>
    <w:p w14:paraId="2A17DDC3" w14:textId="7EEFBD45" w:rsidR="00C50A05" w:rsidRPr="00392E0D" w:rsidRDefault="007A7E45" w:rsidP="007A7E45">
      <w:pPr>
        <w:pStyle w:val="Heading2"/>
        <w:rPr>
          <w:rFonts w:cs="Arial"/>
        </w:rPr>
      </w:pPr>
      <w:r w:rsidRPr="00392E0D">
        <w:rPr>
          <w:rFonts w:cs="Arial"/>
        </w:rPr>
        <w:lastRenderedPageBreak/>
        <w:t>Tasmania trends</w:t>
      </w:r>
    </w:p>
    <w:p w14:paraId="0892A6E9" w14:textId="4D879FA9" w:rsidR="007A7E45" w:rsidRPr="00392E0D" w:rsidRDefault="007A7E45" w:rsidP="007A7E4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88</w:t>
      </w:r>
      <w:r w:rsidRPr="00392E0D">
        <w:rPr>
          <w:rFonts w:cs="Arial"/>
        </w:rPr>
        <w:fldChar w:fldCharType="end"/>
      </w:r>
      <w:r w:rsidRPr="00392E0D">
        <w:rPr>
          <w:rFonts w:cs="Arial"/>
        </w:rPr>
        <w:tab/>
      </w:r>
      <w:r w:rsidRPr="00392E0D">
        <w:rPr>
          <w:rFonts w:eastAsiaTheme="minorHAnsi" w:cs="Arial"/>
          <w:lang w:val="en-AU"/>
        </w:rPr>
        <w:t>Tasmania trends (2009 – 2021) – Developmentally vulnerable on one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7A7E45" w:rsidRPr="00392E0D" w14:paraId="4C3DB1B8" w14:textId="77777777" w:rsidTr="00B31A96">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7E28BEA1" w14:textId="77777777" w:rsidR="007A7E45" w:rsidRPr="00392E0D" w:rsidRDefault="007A7E45" w:rsidP="00B31A96">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7C261A53" w14:textId="62E2F44B" w:rsidR="007A7E45" w:rsidRPr="00392E0D" w:rsidRDefault="009B761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5CCCDB76" w14:textId="78280FD9" w:rsidR="007A7E45" w:rsidRPr="00392E0D" w:rsidRDefault="00513B7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3A0C1AB4" w14:textId="55713592" w:rsidR="007A7E45" w:rsidRPr="00392E0D" w:rsidRDefault="009B761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A7E45" w:rsidRPr="00392E0D" w14:paraId="2331F36C"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75D7BF4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70D2D68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1,297</w:t>
            </w:r>
          </w:p>
        </w:tc>
        <w:tc>
          <w:tcPr>
            <w:tcW w:w="974" w:type="dxa"/>
            <w:tcBorders>
              <w:top w:val="single" w:sz="6" w:space="0" w:color="auto"/>
              <w:left w:val="single" w:sz="6" w:space="0" w:color="auto"/>
              <w:bottom w:val="single" w:sz="6" w:space="0" w:color="auto"/>
              <w:right w:val="single" w:sz="6" w:space="0" w:color="auto"/>
            </w:tcBorders>
          </w:tcPr>
          <w:p w14:paraId="637D902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23.2</w:t>
            </w:r>
          </w:p>
        </w:tc>
        <w:tc>
          <w:tcPr>
            <w:tcW w:w="975" w:type="dxa"/>
            <w:tcBorders>
              <w:top w:val="single" w:sz="6" w:space="0" w:color="auto"/>
              <w:left w:val="single" w:sz="6" w:space="0" w:color="auto"/>
              <w:bottom w:val="single" w:sz="6" w:space="0" w:color="auto"/>
              <w:right w:val="single" w:sz="6" w:space="0" w:color="auto"/>
            </w:tcBorders>
          </w:tcPr>
          <w:p w14:paraId="630FF32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5,589</w:t>
            </w:r>
          </w:p>
        </w:tc>
      </w:tr>
      <w:tr w:rsidR="007A7E45" w:rsidRPr="00392E0D" w14:paraId="0B8CFDE7"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4E544BC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12ECE1F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1,255</w:t>
            </w:r>
          </w:p>
        </w:tc>
        <w:tc>
          <w:tcPr>
            <w:tcW w:w="974" w:type="dxa"/>
            <w:tcBorders>
              <w:top w:val="single" w:sz="6" w:space="0" w:color="auto"/>
              <w:left w:val="single" w:sz="6" w:space="0" w:color="auto"/>
              <w:bottom w:val="single" w:sz="6" w:space="0" w:color="auto"/>
              <w:right w:val="single" w:sz="6" w:space="0" w:color="auto"/>
            </w:tcBorders>
          </w:tcPr>
          <w:p w14:paraId="24A4DF0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w:t>
            </w:r>
          </w:p>
        </w:tc>
        <w:tc>
          <w:tcPr>
            <w:tcW w:w="975" w:type="dxa"/>
            <w:tcBorders>
              <w:top w:val="single" w:sz="6" w:space="0" w:color="auto"/>
              <w:left w:val="single" w:sz="6" w:space="0" w:color="auto"/>
              <w:bottom w:val="single" w:sz="6" w:space="0" w:color="auto"/>
              <w:right w:val="single" w:sz="6" w:space="0" w:color="auto"/>
            </w:tcBorders>
          </w:tcPr>
          <w:p w14:paraId="640CC86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5,825</w:t>
            </w:r>
          </w:p>
        </w:tc>
      </w:tr>
      <w:tr w:rsidR="007A7E45" w:rsidRPr="00392E0D" w14:paraId="1AC35C78"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3AF52ED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6B135A4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1,296</w:t>
            </w:r>
          </w:p>
        </w:tc>
        <w:tc>
          <w:tcPr>
            <w:tcW w:w="974" w:type="dxa"/>
            <w:tcBorders>
              <w:top w:val="single" w:sz="6" w:space="0" w:color="auto"/>
              <w:left w:val="single" w:sz="6" w:space="0" w:color="auto"/>
              <w:bottom w:val="single" w:sz="6" w:space="0" w:color="auto"/>
              <w:right w:val="single" w:sz="6" w:space="0" w:color="auto"/>
            </w:tcBorders>
          </w:tcPr>
          <w:p w14:paraId="607B440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21.0</w:t>
            </w:r>
          </w:p>
        </w:tc>
        <w:tc>
          <w:tcPr>
            <w:tcW w:w="975" w:type="dxa"/>
            <w:tcBorders>
              <w:top w:val="single" w:sz="6" w:space="0" w:color="auto"/>
              <w:left w:val="single" w:sz="6" w:space="0" w:color="auto"/>
              <w:bottom w:val="single" w:sz="6" w:space="0" w:color="auto"/>
              <w:right w:val="single" w:sz="6" w:space="0" w:color="auto"/>
            </w:tcBorders>
          </w:tcPr>
          <w:p w14:paraId="73ED086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6,159</w:t>
            </w:r>
          </w:p>
        </w:tc>
      </w:tr>
      <w:tr w:rsidR="007A7E45" w:rsidRPr="00392E0D" w14:paraId="2BAA7FDF"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53BF1D9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65E00ED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1,308</w:t>
            </w:r>
          </w:p>
        </w:tc>
        <w:tc>
          <w:tcPr>
            <w:tcW w:w="974" w:type="dxa"/>
            <w:tcBorders>
              <w:top w:val="single" w:sz="6" w:space="0" w:color="auto"/>
              <w:left w:val="single" w:sz="6" w:space="0" w:color="auto"/>
              <w:bottom w:val="single" w:sz="6" w:space="0" w:color="auto"/>
              <w:right w:val="single" w:sz="6" w:space="0" w:color="auto"/>
            </w:tcBorders>
          </w:tcPr>
          <w:p w14:paraId="5FA5284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w:t>
            </w:r>
          </w:p>
        </w:tc>
        <w:tc>
          <w:tcPr>
            <w:tcW w:w="975" w:type="dxa"/>
            <w:tcBorders>
              <w:top w:val="single" w:sz="6" w:space="0" w:color="auto"/>
              <w:left w:val="single" w:sz="6" w:space="0" w:color="auto"/>
              <w:bottom w:val="single" w:sz="6" w:space="0" w:color="auto"/>
              <w:right w:val="single" w:sz="6" w:space="0" w:color="auto"/>
            </w:tcBorders>
          </w:tcPr>
          <w:p w14:paraId="5E0779D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6,086</w:t>
            </w:r>
          </w:p>
        </w:tc>
      </w:tr>
      <w:tr w:rsidR="007A7E45" w:rsidRPr="00392E0D" w14:paraId="11136B4C"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46F864A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42394D6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1,243</w:t>
            </w:r>
          </w:p>
        </w:tc>
        <w:tc>
          <w:tcPr>
            <w:tcW w:w="974" w:type="dxa"/>
            <w:tcBorders>
              <w:top w:val="single" w:sz="6" w:space="0" w:color="auto"/>
              <w:left w:val="single" w:sz="6" w:space="0" w:color="auto"/>
              <w:bottom w:val="single" w:sz="6" w:space="0" w:color="auto"/>
              <w:right w:val="single" w:sz="6" w:space="0" w:color="auto"/>
            </w:tcBorders>
          </w:tcPr>
          <w:p w14:paraId="2B5C3FB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21.8</w:t>
            </w:r>
          </w:p>
        </w:tc>
        <w:tc>
          <w:tcPr>
            <w:tcW w:w="975" w:type="dxa"/>
            <w:tcBorders>
              <w:top w:val="single" w:sz="6" w:space="0" w:color="auto"/>
              <w:left w:val="single" w:sz="6" w:space="0" w:color="auto"/>
              <w:bottom w:val="single" w:sz="6" w:space="0" w:color="auto"/>
              <w:right w:val="single" w:sz="6" w:space="0" w:color="auto"/>
            </w:tcBorders>
          </w:tcPr>
          <w:p w14:paraId="0D061A2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5,699</w:t>
            </w:r>
          </w:p>
        </w:tc>
      </w:tr>
    </w:tbl>
    <w:p w14:paraId="16218C6E" w14:textId="33F4F7B4" w:rsidR="007A7E45" w:rsidRPr="00392E0D" w:rsidRDefault="007A7E45" w:rsidP="007A7E4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89</w:t>
      </w:r>
      <w:r w:rsidRPr="00392E0D">
        <w:rPr>
          <w:rFonts w:cs="Arial"/>
        </w:rPr>
        <w:fldChar w:fldCharType="end"/>
      </w:r>
      <w:r w:rsidRPr="00392E0D">
        <w:rPr>
          <w:rFonts w:cs="Arial"/>
        </w:rPr>
        <w:tab/>
      </w:r>
      <w:r w:rsidRPr="00392E0D">
        <w:rPr>
          <w:rFonts w:eastAsiaTheme="minorHAnsi" w:cs="Arial"/>
          <w:lang w:val="en-AU"/>
        </w:rPr>
        <w:t>Tasmania trends (2009 – 2021) – Developmentally vulnerable on two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7A7E45" w:rsidRPr="00392E0D" w14:paraId="69301748" w14:textId="77777777" w:rsidTr="00B31A96">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7A0FD0F4" w14:textId="77777777" w:rsidR="007A7E45" w:rsidRPr="00392E0D" w:rsidRDefault="007A7E45" w:rsidP="00B31A96">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4BD02A95" w14:textId="44C98A14" w:rsidR="007A7E45" w:rsidRPr="00392E0D" w:rsidRDefault="009B761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0BFE7F68" w14:textId="55C87B04" w:rsidR="007A7E45" w:rsidRPr="00392E0D" w:rsidRDefault="00513B7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3D6A7420" w14:textId="560F3A04" w:rsidR="007A7E45" w:rsidRPr="00392E0D" w:rsidRDefault="009B761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A7E45" w:rsidRPr="00392E0D" w14:paraId="12D9C4CF"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74FA0AE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378159B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668</w:t>
            </w:r>
          </w:p>
        </w:tc>
        <w:tc>
          <w:tcPr>
            <w:tcW w:w="974" w:type="dxa"/>
            <w:tcBorders>
              <w:top w:val="single" w:sz="6" w:space="0" w:color="auto"/>
              <w:left w:val="single" w:sz="6" w:space="0" w:color="auto"/>
              <w:bottom w:val="single" w:sz="6" w:space="0" w:color="auto"/>
              <w:right w:val="single" w:sz="6" w:space="0" w:color="auto"/>
            </w:tcBorders>
          </w:tcPr>
          <w:p w14:paraId="785CCAC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11.9</w:t>
            </w:r>
          </w:p>
        </w:tc>
        <w:tc>
          <w:tcPr>
            <w:tcW w:w="975" w:type="dxa"/>
            <w:tcBorders>
              <w:top w:val="single" w:sz="6" w:space="0" w:color="auto"/>
              <w:left w:val="single" w:sz="6" w:space="0" w:color="auto"/>
              <w:bottom w:val="single" w:sz="6" w:space="0" w:color="auto"/>
              <w:right w:val="single" w:sz="6" w:space="0" w:color="auto"/>
            </w:tcBorders>
          </w:tcPr>
          <w:p w14:paraId="1ADC1EB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5,594</w:t>
            </w:r>
          </w:p>
        </w:tc>
      </w:tr>
      <w:tr w:rsidR="007A7E45" w:rsidRPr="00392E0D" w14:paraId="3F7DF83D"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475FEBB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45E21C3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625</w:t>
            </w:r>
          </w:p>
        </w:tc>
        <w:tc>
          <w:tcPr>
            <w:tcW w:w="974" w:type="dxa"/>
            <w:tcBorders>
              <w:top w:val="single" w:sz="6" w:space="0" w:color="auto"/>
              <w:left w:val="single" w:sz="6" w:space="0" w:color="auto"/>
              <w:bottom w:val="single" w:sz="6" w:space="0" w:color="auto"/>
              <w:right w:val="single" w:sz="6" w:space="0" w:color="auto"/>
            </w:tcBorders>
          </w:tcPr>
          <w:p w14:paraId="0E60B92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10.7</w:t>
            </w:r>
          </w:p>
        </w:tc>
        <w:tc>
          <w:tcPr>
            <w:tcW w:w="975" w:type="dxa"/>
            <w:tcBorders>
              <w:top w:val="single" w:sz="6" w:space="0" w:color="auto"/>
              <w:left w:val="single" w:sz="6" w:space="0" w:color="auto"/>
              <w:bottom w:val="single" w:sz="6" w:space="0" w:color="auto"/>
              <w:right w:val="single" w:sz="6" w:space="0" w:color="auto"/>
            </w:tcBorders>
          </w:tcPr>
          <w:p w14:paraId="2FAAF05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5,840</w:t>
            </w:r>
          </w:p>
        </w:tc>
      </w:tr>
      <w:tr w:rsidR="007A7E45" w:rsidRPr="00392E0D" w14:paraId="19D04EF2"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5EA9222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198F7AB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657</w:t>
            </w:r>
          </w:p>
        </w:tc>
        <w:tc>
          <w:tcPr>
            <w:tcW w:w="974" w:type="dxa"/>
            <w:tcBorders>
              <w:top w:val="single" w:sz="6" w:space="0" w:color="auto"/>
              <w:left w:val="single" w:sz="6" w:space="0" w:color="auto"/>
              <w:bottom w:val="single" w:sz="6" w:space="0" w:color="auto"/>
              <w:right w:val="single" w:sz="6" w:space="0" w:color="auto"/>
            </w:tcBorders>
          </w:tcPr>
          <w:p w14:paraId="3063D52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10.7</w:t>
            </w:r>
          </w:p>
        </w:tc>
        <w:tc>
          <w:tcPr>
            <w:tcW w:w="975" w:type="dxa"/>
            <w:tcBorders>
              <w:top w:val="single" w:sz="6" w:space="0" w:color="auto"/>
              <w:left w:val="single" w:sz="6" w:space="0" w:color="auto"/>
              <w:bottom w:val="single" w:sz="6" w:space="0" w:color="auto"/>
              <w:right w:val="single" w:sz="6" w:space="0" w:color="auto"/>
            </w:tcBorders>
          </w:tcPr>
          <w:p w14:paraId="00F56A7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6,158</w:t>
            </w:r>
          </w:p>
        </w:tc>
      </w:tr>
      <w:tr w:rsidR="007A7E45" w:rsidRPr="00392E0D" w14:paraId="5148C697"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677166B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047E5B4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618</w:t>
            </w:r>
          </w:p>
        </w:tc>
        <w:tc>
          <w:tcPr>
            <w:tcW w:w="974" w:type="dxa"/>
            <w:tcBorders>
              <w:top w:val="single" w:sz="6" w:space="0" w:color="auto"/>
              <w:left w:val="single" w:sz="6" w:space="0" w:color="auto"/>
              <w:bottom w:val="single" w:sz="6" w:space="0" w:color="auto"/>
              <w:right w:val="single" w:sz="6" w:space="0" w:color="auto"/>
            </w:tcBorders>
          </w:tcPr>
          <w:p w14:paraId="7E80F36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975" w:type="dxa"/>
            <w:tcBorders>
              <w:top w:val="single" w:sz="6" w:space="0" w:color="auto"/>
              <w:left w:val="single" w:sz="6" w:space="0" w:color="auto"/>
              <w:bottom w:val="single" w:sz="6" w:space="0" w:color="auto"/>
              <w:right w:val="single" w:sz="6" w:space="0" w:color="auto"/>
            </w:tcBorders>
          </w:tcPr>
          <w:p w14:paraId="3407C31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6,104</w:t>
            </w:r>
          </w:p>
        </w:tc>
      </w:tr>
      <w:tr w:rsidR="007A7E45" w:rsidRPr="00392E0D" w14:paraId="6AE4199D" w14:textId="77777777" w:rsidTr="007A7E45">
        <w:trPr>
          <w:trHeight w:val="296"/>
        </w:trPr>
        <w:tc>
          <w:tcPr>
            <w:tcW w:w="974" w:type="dxa"/>
            <w:tcBorders>
              <w:top w:val="single" w:sz="6" w:space="0" w:color="auto"/>
              <w:left w:val="single" w:sz="6" w:space="0" w:color="auto"/>
              <w:bottom w:val="single" w:sz="6" w:space="0" w:color="auto"/>
              <w:right w:val="single" w:sz="6" w:space="0" w:color="auto"/>
            </w:tcBorders>
          </w:tcPr>
          <w:p w14:paraId="6FF766E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0133497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617</w:t>
            </w:r>
          </w:p>
        </w:tc>
        <w:tc>
          <w:tcPr>
            <w:tcW w:w="974" w:type="dxa"/>
            <w:tcBorders>
              <w:top w:val="single" w:sz="6" w:space="0" w:color="auto"/>
              <w:left w:val="single" w:sz="6" w:space="0" w:color="auto"/>
              <w:bottom w:val="single" w:sz="6" w:space="0" w:color="auto"/>
              <w:right w:val="single" w:sz="6" w:space="0" w:color="auto"/>
            </w:tcBorders>
          </w:tcPr>
          <w:p w14:paraId="27953D6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w:t>
            </w:r>
          </w:p>
        </w:tc>
        <w:tc>
          <w:tcPr>
            <w:tcW w:w="975" w:type="dxa"/>
            <w:tcBorders>
              <w:top w:val="single" w:sz="6" w:space="0" w:color="auto"/>
              <w:left w:val="single" w:sz="6" w:space="0" w:color="auto"/>
              <w:bottom w:val="single" w:sz="6" w:space="0" w:color="auto"/>
              <w:right w:val="single" w:sz="6" w:space="0" w:color="auto"/>
            </w:tcBorders>
          </w:tcPr>
          <w:p w14:paraId="236191F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5,699</w:t>
            </w:r>
          </w:p>
        </w:tc>
      </w:tr>
    </w:tbl>
    <w:p w14:paraId="0B735C15" w14:textId="77637FAE" w:rsidR="007A7E45" w:rsidRPr="00392E0D" w:rsidRDefault="007A7E45" w:rsidP="007A7E4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90</w:t>
      </w:r>
      <w:r w:rsidRPr="00392E0D">
        <w:rPr>
          <w:rFonts w:cs="Arial"/>
        </w:rPr>
        <w:fldChar w:fldCharType="end"/>
      </w:r>
      <w:r w:rsidRPr="00392E0D">
        <w:rPr>
          <w:rFonts w:cs="Arial"/>
        </w:rPr>
        <w:tab/>
      </w:r>
      <w:r w:rsidRPr="00392E0D">
        <w:rPr>
          <w:rFonts w:eastAsiaTheme="minorHAnsi" w:cs="Arial"/>
          <w:lang w:val="en-AU"/>
        </w:rPr>
        <w:t>Tasmania trends (2009 – 2021) – Developmentally on track on five domains</w:t>
      </w:r>
    </w:p>
    <w:tbl>
      <w:tblPr>
        <w:tblW w:w="0" w:type="auto"/>
        <w:tblInd w:w="-38" w:type="dxa"/>
        <w:tblLayout w:type="fixed"/>
        <w:tblLook w:val="0000" w:firstRow="0" w:lastRow="0" w:firstColumn="0" w:lastColumn="0" w:noHBand="0" w:noVBand="0"/>
      </w:tblPr>
      <w:tblGrid>
        <w:gridCol w:w="974"/>
        <w:gridCol w:w="975"/>
        <w:gridCol w:w="974"/>
        <w:gridCol w:w="975"/>
      </w:tblGrid>
      <w:tr w:rsidR="007A7E45" w:rsidRPr="00392E0D" w14:paraId="7CFAE640" w14:textId="77777777" w:rsidTr="00B31A96">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6E04548F" w14:textId="77777777" w:rsidR="007A7E45" w:rsidRPr="00392E0D" w:rsidRDefault="007A7E45" w:rsidP="00B31A96">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372CEC3C" w14:textId="0C3C5717" w:rsidR="007A7E45" w:rsidRPr="00392E0D" w:rsidRDefault="009B761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516F9522" w14:textId="118EFA0C" w:rsidR="007A7E45" w:rsidRPr="00392E0D" w:rsidRDefault="00513B7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40B9234D" w14:textId="081D6E85" w:rsidR="007A7E45" w:rsidRPr="00392E0D" w:rsidRDefault="009B7612" w:rsidP="00B31A9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A7E45" w:rsidRPr="00392E0D" w14:paraId="06904B3A"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4060193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41B519E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2,946</w:t>
            </w:r>
          </w:p>
        </w:tc>
        <w:tc>
          <w:tcPr>
            <w:tcW w:w="974" w:type="dxa"/>
            <w:tcBorders>
              <w:top w:val="single" w:sz="6" w:space="0" w:color="auto"/>
              <w:left w:val="single" w:sz="6" w:space="0" w:color="auto"/>
              <w:bottom w:val="single" w:sz="6" w:space="0" w:color="auto"/>
              <w:right w:val="single" w:sz="6" w:space="0" w:color="auto"/>
            </w:tcBorders>
          </w:tcPr>
          <w:p w14:paraId="5BAF2CC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52.7</w:t>
            </w:r>
          </w:p>
        </w:tc>
        <w:tc>
          <w:tcPr>
            <w:tcW w:w="975" w:type="dxa"/>
            <w:tcBorders>
              <w:top w:val="single" w:sz="6" w:space="0" w:color="auto"/>
              <w:left w:val="single" w:sz="6" w:space="0" w:color="auto"/>
              <w:bottom w:val="single" w:sz="6" w:space="0" w:color="auto"/>
              <w:right w:val="single" w:sz="6" w:space="0" w:color="auto"/>
            </w:tcBorders>
          </w:tcPr>
          <w:p w14:paraId="6A5585D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5,594</w:t>
            </w:r>
          </w:p>
        </w:tc>
      </w:tr>
      <w:tr w:rsidR="007A7E45" w:rsidRPr="00392E0D" w14:paraId="7E6BA70E"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68A29D0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416EEEC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3,177</w:t>
            </w:r>
          </w:p>
        </w:tc>
        <w:tc>
          <w:tcPr>
            <w:tcW w:w="974" w:type="dxa"/>
            <w:tcBorders>
              <w:top w:val="single" w:sz="6" w:space="0" w:color="auto"/>
              <w:left w:val="single" w:sz="6" w:space="0" w:color="auto"/>
              <w:bottom w:val="single" w:sz="6" w:space="0" w:color="auto"/>
              <w:right w:val="single" w:sz="6" w:space="0" w:color="auto"/>
            </w:tcBorders>
          </w:tcPr>
          <w:p w14:paraId="57CB554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54.5</w:t>
            </w:r>
          </w:p>
        </w:tc>
        <w:tc>
          <w:tcPr>
            <w:tcW w:w="975" w:type="dxa"/>
            <w:tcBorders>
              <w:top w:val="single" w:sz="6" w:space="0" w:color="auto"/>
              <w:left w:val="single" w:sz="6" w:space="0" w:color="auto"/>
              <w:bottom w:val="single" w:sz="6" w:space="0" w:color="auto"/>
              <w:right w:val="single" w:sz="6" w:space="0" w:color="auto"/>
            </w:tcBorders>
          </w:tcPr>
          <w:p w14:paraId="2E948BB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5,829</w:t>
            </w:r>
          </w:p>
        </w:tc>
      </w:tr>
      <w:tr w:rsidR="007A7E45" w:rsidRPr="00392E0D" w14:paraId="28697EF6"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02F4D2A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054303C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3,427</w:t>
            </w:r>
          </w:p>
        </w:tc>
        <w:tc>
          <w:tcPr>
            <w:tcW w:w="974" w:type="dxa"/>
            <w:tcBorders>
              <w:top w:val="single" w:sz="6" w:space="0" w:color="auto"/>
              <w:left w:val="single" w:sz="6" w:space="0" w:color="auto"/>
              <w:bottom w:val="single" w:sz="6" w:space="0" w:color="auto"/>
              <w:right w:val="single" w:sz="6" w:space="0" w:color="auto"/>
            </w:tcBorders>
          </w:tcPr>
          <w:p w14:paraId="76F597D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55.6</w:t>
            </w:r>
          </w:p>
        </w:tc>
        <w:tc>
          <w:tcPr>
            <w:tcW w:w="975" w:type="dxa"/>
            <w:tcBorders>
              <w:top w:val="single" w:sz="6" w:space="0" w:color="auto"/>
              <w:left w:val="single" w:sz="6" w:space="0" w:color="auto"/>
              <w:bottom w:val="single" w:sz="6" w:space="0" w:color="auto"/>
              <w:right w:val="single" w:sz="6" w:space="0" w:color="auto"/>
            </w:tcBorders>
          </w:tcPr>
          <w:p w14:paraId="46CF88D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6,159</w:t>
            </w:r>
          </w:p>
        </w:tc>
      </w:tr>
      <w:tr w:rsidR="007A7E45" w:rsidRPr="00392E0D" w14:paraId="17646535"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7238620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7814BAD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3,330</w:t>
            </w:r>
          </w:p>
        </w:tc>
        <w:tc>
          <w:tcPr>
            <w:tcW w:w="974" w:type="dxa"/>
            <w:tcBorders>
              <w:top w:val="single" w:sz="6" w:space="0" w:color="auto"/>
              <w:left w:val="single" w:sz="6" w:space="0" w:color="auto"/>
              <w:bottom w:val="single" w:sz="6" w:space="0" w:color="auto"/>
              <w:right w:val="single" w:sz="6" w:space="0" w:color="auto"/>
            </w:tcBorders>
          </w:tcPr>
          <w:p w14:paraId="4E51D64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54.5</w:t>
            </w:r>
          </w:p>
        </w:tc>
        <w:tc>
          <w:tcPr>
            <w:tcW w:w="975" w:type="dxa"/>
            <w:tcBorders>
              <w:top w:val="single" w:sz="6" w:space="0" w:color="auto"/>
              <w:left w:val="single" w:sz="6" w:space="0" w:color="auto"/>
              <w:bottom w:val="single" w:sz="6" w:space="0" w:color="auto"/>
              <w:right w:val="single" w:sz="6" w:space="0" w:color="auto"/>
            </w:tcBorders>
          </w:tcPr>
          <w:p w14:paraId="34953BF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6,113</w:t>
            </w:r>
          </w:p>
        </w:tc>
      </w:tr>
      <w:tr w:rsidR="007A7E45" w:rsidRPr="00392E0D" w14:paraId="11DE93E0"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018B6C1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5CBD521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2,963</w:t>
            </w:r>
          </w:p>
        </w:tc>
        <w:tc>
          <w:tcPr>
            <w:tcW w:w="974" w:type="dxa"/>
            <w:tcBorders>
              <w:top w:val="single" w:sz="6" w:space="0" w:color="auto"/>
              <w:left w:val="single" w:sz="6" w:space="0" w:color="auto"/>
              <w:bottom w:val="single" w:sz="6" w:space="0" w:color="auto"/>
              <w:right w:val="single" w:sz="6" w:space="0" w:color="auto"/>
            </w:tcBorders>
          </w:tcPr>
          <w:p w14:paraId="66022F1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52.0</w:t>
            </w:r>
          </w:p>
        </w:tc>
        <w:tc>
          <w:tcPr>
            <w:tcW w:w="975" w:type="dxa"/>
            <w:tcBorders>
              <w:top w:val="single" w:sz="6" w:space="0" w:color="auto"/>
              <w:left w:val="single" w:sz="6" w:space="0" w:color="auto"/>
              <w:bottom w:val="single" w:sz="6" w:space="0" w:color="auto"/>
              <w:right w:val="single" w:sz="6" w:space="0" w:color="auto"/>
            </w:tcBorders>
          </w:tcPr>
          <w:p w14:paraId="7CD6682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5,701</w:t>
            </w:r>
          </w:p>
        </w:tc>
      </w:tr>
    </w:tbl>
    <w:p w14:paraId="770A394C" w14:textId="5A3FE866" w:rsidR="007A7E45" w:rsidRPr="00392E0D" w:rsidRDefault="007A7E45" w:rsidP="007A7E4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91</w:t>
      </w:r>
      <w:r w:rsidRPr="00392E0D">
        <w:rPr>
          <w:rFonts w:cs="Arial"/>
        </w:rPr>
        <w:fldChar w:fldCharType="end"/>
      </w:r>
      <w:r w:rsidRPr="00392E0D">
        <w:rPr>
          <w:rFonts w:cs="Arial"/>
        </w:rPr>
        <w:tab/>
      </w:r>
      <w:r w:rsidRPr="00392E0D">
        <w:rPr>
          <w:rFonts w:eastAsiaTheme="minorHAnsi" w:cs="Arial"/>
          <w:lang w:val="en-AU"/>
        </w:rPr>
        <w:t>Tasmania trends (2009 – 2021) – Physical health and wellbeing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A7E45" w:rsidRPr="00392E0D" w14:paraId="4730938E"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640BFDD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3B1636E3" w14:textId="7EF4B11C"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5E448020" w14:textId="607B843D"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04F4276B" w14:textId="279C2897"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2598D48B" w14:textId="73C09590"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731E9376" w14:textId="4FA58B53"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770C1431" w14:textId="2D0A84D5"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256FA599" w14:textId="78F81B85" w:rsidR="007A7E45" w:rsidRPr="00392E0D" w:rsidRDefault="009B7612"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A7E45" w:rsidRPr="00392E0D" w14:paraId="443827FD" w14:textId="77777777" w:rsidTr="007A7E45">
        <w:trPr>
          <w:trHeight w:val="311"/>
        </w:trPr>
        <w:tc>
          <w:tcPr>
            <w:tcW w:w="974" w:type="dxa"/>
            <w:tcBorders>
              <w:top w:val="single" w:sz="6" w:space="0" w:color="auto"/>
              <w:left w:val="single" w:sz="6" w:space="0" w:color="auto"/>
              <w:bottom w:val="single" w:sz="6" w:space="0" w:color="auto"/>
              <w:right w:val="single" w:sz="6" w:space="0" w:color="auto"/>
            </w:tcBorders>
          </w:tcPr>
          <w:p w14:paraId="2D99988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787D937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4,328</w:t>
            </w:r>
          </w:p>
        </w:tc>
        <w:tc>
          <w:tcPr>
            <w:tcW w:w="1343" w:type="dxa"/>
            <w:tcBorders>
              <w:top w:val="single" w:sz="6" w:space="0" w:color="auto"/>
              <w:left w:val="single" w:sz="6" w:space="0" w:color="auto"/>
              <w:bottom w:val="single" w:sz="6" w:space="0" w:color="auto"/>
              <w:right w:val="single" w:sz="6" w:space="0" w:color="auto"/>
            </w:tcBorders>
          </w:tcPr>
          <w:p w14:paraId="048F11F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77.4</w:t>
            </w:r>
          </w:p>
        </w:tc>
        <w:tc>
          <w:tcPr>
            <w:tcW w:w="1344" w:type="dxa"/>
            <w:tcBorders>
              <w:top w:val="single" w:sz="6" w:space="0" w:color="auto"/>
              <w:left w:val="single" w:sz="6" w:space="0" w:color="auto"/>
              <w:bottom w:val="single" w:sz="6" w:space="0" w:color="auto"/>
              <w:right w:val="single" w:sz="6" w:space="0" w:color="auto"/>
            </w:tcBorders>
          </w:tcPr>
          <w:p w14:paraId="7FB0695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644</w:t>
            </w:r>
          </w:p>
        </w:tc>
        <w:tc>
          <w:tcPr>
            <w:tcW w:w="1343" w:type="dxa"/>
            <w:tcBorders>
              <w:top w:val="single" w:sz="6" w:space="0" w:color="auto"/>
              <w:left w:val="single" w:sz="6" w:space="0" w:color="auto"/>
              <w:bottom w:val="single" w:sz="6" w:space="0" w:color="auto"/>
              <w:right w:val="single" w:sz="6" w:space="0" w:color="auto"/>
            </w:tcBorders>
          </w:tcPr>
          <w:p w14:paraId="2DC56B0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11.5</w:t>
            </w:r>
          </w:p>
        </w:tc>
        <w:tc>
          <w:tcPr>
            <w:tcW w:w="1344" w:type="dxa"/>
            <w:tcBorders>
              <w:top w:val="single" w:sz="6" w:space="0" w:color="auto"/>
              <w:left w:val="single" w:sz="6" w:space="0" w:color="auto"/>
              <w:bottom w:val="single" w:sz="6" w:space="0" w:color="auto"/>
              <w:right w:val="single" w:sz="6" w:space="0" w:color="auto"/>
            </w:tcBorders>
          </w:tcPr>
          <w:p w14:paraId="09A77EF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623</w:t>
            </w:r>
          </w:p>
        </w:tc>
        <w:tc>
          <w:tcPr>
            <w:tcW w:w="1343" w:type="dxa"/>
            <w:tcBorders>
              <w:top w:val="single" w:sz="6" w:space="0" w:color="auto"/>
              <w:left w:val="single" w:sz="6" w:space="0" w:color="auto"/>
              <w:bottom w:val="single" w:sz="6" w:space="0" w:color="auto"/>
              <w:right w:val="single" w:sz="6" w:space="0" w:color="auto"/>
            </w:tcBorders>
          </w:tcPr>
          <w:p w14:paraId="79BE0BD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11.1</w:t>
            </w:r>
          </w:p>
        </w:tc>
        <w:tc>
          <w:tcPr>
            <w:tcW w:w="1344" w:type="dxa"/>
            <w:tcBorders>
              <w:top w:val="single" w:sz="6" w:space="0" w:color="auto"/>
              <w:left w:val="single" w:sz="6" w:space="0" w:color="auto"/>
              <w:bottom w:val="single" w:sz="6" w:space="0" w:color="auto"/>
              <w:right w:val="single" w:sz="6" w:space="0" w:color="auto"/>
            </w:tcBorders>
          </w:tcPr>
          <w:p w14:paraId="0AD90F9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5,595</w:t>
            </w:r>
          </w:p>
        </w:tc>
      </w:tr>
      <w:tr w:rsidR="007A7E45" w:rsidRPr="00392E0D" w14:paraId="4AB07E75"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3962F2B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2406669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4,587</w:t>
            </w:r>
          </w:p>
        </w:tc>
        <w:tc>
          <w:tcPr>
            <w:tcW w:w="1343" w:type="dxa"/>
            <w:tcBorders>
              <w:top w:val="single" w:sz="6" w:space="0" w:color="auto"/>
              <w:left w:val="single" w:sz="6" w:space="0" w:color="auto"/>
              <w:bottom w:val="single" w:sz="6" w:space="0" w:color="auto"/>
              <w:right w:val="single" w:sz="6" w:space="0" w:color="auto"/>
            </w:tcBorders>
          </w:tcPr>
          <w:p w14:paraId="2499ADD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78.5</w:t>
            </w:r>
          </w:p>
        </w:tc>
        <w:tc>
          <w:tcPr>
            <w:tcW w:w="1344" w:type="dxa"/>
            <w:tcBorders>
              <w:top w:val="single" w:sz="6" w:space="0" w:color="auto"/>
              <w:left w:val="single" w:sz="6" w:space="0" w:color="auto"/>
              <w:bottom w:val="single" w:sz="6" w:space="0" w:color="auto"/>
              <w:right w:val="single" w:sz="6" w:space="0" w:color="auto"/>
            </w:tcBorders>
          </w:tcPr>
          <w:p w14:paraId="36AE801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706</w:t>
            </w:r>
          </w:p>
        </w:tc>
        <w:tc>
          <w:tcPr>
            <w:tcW w:w="1343" w:type="dxa"/>
            <w:tcBorders>
              <w:top w:val="single" w:sz="6" w:space="0" w:color="auto"/>
              <w:left w:val="single" w:sz="6" w:space="0" w:color="auto"/>
              <w:bottom w:val="single" w:sz="6" w:space="0" w:color="auto"/>
              <w:right w:val="single" w:sz="6" w:space="0" w:color="auto"/>
            </w:tcBorders>
          </w:tcPr>
          <w:p w14:paraId="5F75100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12.1</w:t>
            </w:r>
          </w:p>
        </w:tc>
        <w:tc>
          <w:tcPr>
            <w:tcW w:w="1344" w:type="dxa"/>
            <w:tcBorders>
              <w:top w:val="single" w:sz="6" w:space="0" w:color="auto"/>
              <w:left w:val="single" w:sz="6" w:space="0" w:color="auto"/>
              <w:bottom w:val="single" w:sz="6" w:space="0" w:color="auto"/>
              <w:right w:val="single" w:sz="6" w:space="0" w:color="auto"/>
            </w:tcBorders>
          </w:tcPr>
          <w:p w14:paraId="28F3D6C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554</w:t>
            </w:r>
          </w:p>
        </w:tc>
        <w:tc>
          <w:tcPr>
            <w:tcW w:w="1343" w:type="dxa"/>
            <w:tcBorders>
              <w:top w:val="single" w:sz="6" w:space="0" w:color="auto"/>
              <w:left w:val="single" w:sz="6" w:space="0" w:color="auto"/>
              <w:bottom w:val="single" w:sz="6" w:space="0" w:color="auto"/>
              <w:right w:val="single" w:sz="6" w:space="0" w:color="auto"/>
            </w:tcBorders>
          </w:tcPr>
          <w:p w14:paraId="2D84212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w:t>
            </w:r>
          </w:p>
        </w:tc>
        <w:tc>
          <w:tcPr>
            <w:tcW w:w="1344" w:type="dxa"/>
            <w:tcBorders>
              <w:top w:val="single" w:sz="6" w:space="0" w:color="auto"/>
              <w:left w:val="single" w:sz="6" w:space="0" w:color="auto"/>
              <w:bottom w:val="single" w:sz="6" w:space="0" w:color="auto"/>
              <w:right w:val="single" w:sz="6" w:space="0" w:color="auto"/>
            </w:tcBorders>
          </w:tcPr>
          <w:p w14:paraId="40F9D01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5,847</w:t>
            </w:r>
          </w:p>
        </w:tc>
      </w:tr>
      <w:tr w:rsidR="007A7E45" w:rsidRPr="00392E0D" w14:paraId="6A5515A4"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6FF03D9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6E78E4E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4,810</w:t>
            </w:r>
          </w:p>
        </w:tc>
        <w:tc>
          <w:tcPr>
            <w:tcW w:w="1343" w:type="dxa"/>
            <w:tcBorders>
              <w:top w:val="single" w:sz="6" w:space="0" w:color="auto"/>
              <w:left w:val="single" w:sz="6" w:space="0" w:color="auto"/>
              <w:bottom w:val="single" w:sz="6" w:space="0" w:color="auto"/>
              <w:right w:val="single" w:sz="6" w:space="0" w:color="auto"/>
            </w:tcBorders>
          </w:tcPr>
          <w:p w14:paraId="2EF2AB1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78.1</w:t>
            </w:r>
          </w:p>
        </w:tc>
        <w:tc>
          <w:tcPr>
            <w:tcW w:w="1344" w:type="dxa"/>
            <w:tcBorders>
              <w:top w:val="single" w:sz="6" w:space="0" w:color="auto"/>
              <w:left w:val="single" w:sz="6" w:space="0" w:color="auto"/>
              <w:bottom w:val="single" w:sz="6" w:space="0" w:color="auto"/>
              <w:right w:val="single" w:sz="6" w:space="0" w:color="auto"/>
            </w:tcBorders>
          </w:tcPr>
          <w:p w14:paraId="2E997EB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731</w:t>
            </w:r>
          </w:p>
        </w:tc>
        <w:tc>
          <w:tcPr>
            <w:tcW w:w="1343" w:type="dxa"/>
            <w:tcBorders>
              <w:top w:val="single" w:sz="6" w:space="0" w:color="auto"/>
              <w:left w:val="single" w:sz="6" w:space="0" w:color="auto"/>
              <w:bottom w:val="single" w:sz="6" w:space="0" w:color="auto"/>
              <w:right w:val="single" w:sz="6" w:space="0" w:color="auto"/>
            </w:tcBorders>
          </w:tcPr>
          <w:p w14:paraId="519F46F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11.9</w:t>
            </w:r>
          </w:p>
        </w:tc>
        <w:tc>
          <w:tcPr>
            <w:tcW w:w="1344" w:type="dxa"/>
            <w:tcBorders>
              <w:top w:val="single" w:sz="6" w:space="0" w:color="auto"/>
              <w:left w:val="single" w:sz="6" w:space="0" w:color="auto"/>
              <w:bottom w:val="single" w:sz="6" w:space="0" w:color="auto"/>
              <w:right w:val="single" w:sz="6" w:space="0" w:color="auto"/>
            </w:tcBorders>
          </w:tcPr>
          <w:p w14:paraId="6673323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618</w:t>
            </w:r>
          </w:p>
        </w:tc>
        <w:tc>
          <w:tcPr>
            <w:tcW w:w="1343" w:type="dxa"/>
            <w:tcBorders>
              <w:top w:val="single" w:sz="6" w:space="0" w:color="auto"/>
              <w:left w:val="single" w:sz="6" w:space="0" w:color="auto"/>
              <w:bottom w:val="single" w:sz="6" w:space="0" w:color="auto"/>
              <w:right w:val="single" w:sz="6" w:space="0" w:color="auto"/>
            </w:tcBorders>
          </w:tcPr>
          <w:p w14:paraId="6C59A3A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10.0</w:t>
            </w:r>
          </w:p>
        </w:tc>
        <w:tc>
          <w:tcPr>
            <w:tcW w:w="1344" w:type="dxa"/>
            <w:tcBorders>
              <w:top w:val="single" w:sz="6" w:space="0" w:color="auto"/>
              <w:left w:val="single" w:sz="6" w:space="0" w:color="auto"/>
              <w:bottom w:val="single" w:sz="6" w:space="0" w:color="auto"/>
              <w:right w:val="single" w:sz="6" w:space="0" w:color="auto"/>
            </w:tcBorders>
          </w:tcPr>
          <w:p w14:paraId="45E7D7F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6,159</w:t>
            </w:r>
          </w:p>
        </w:tc>
      </w:tr>
      <w:tr w:rsidR="007A7E45" w:rsidRPr="00392E0D" w14:paraId="7260B650"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5D2C188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7FB5FF1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4,765</w:t>
            </w:r>
          </w:p>
        </w:tc>
        <w:tc>
          <w:tcPr>
            <w:tcW w:w="1343" w:type="dxa"/>
            <w:tcBorders>
              <w:top w:val="single" w:sz="6" w:space="0" w:color="auto"/>
              <w:left w:val="single" w:sz="6" w:space="0" w:color="auto"/>
              <w:bottom w:val="single" w:sz="6" w:space="0" w:color="auto"/>
              <w:right w:val="single" w:sz="6" w:space="0" w:color="auto"/>
            </w:tcBorders>
          </w:tcPr>
          <w:p w14:paraId="0407B52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77.8</w:t>
            </w:r>
          </w:p>
        </w:tc>
        <w:tc>
          <w:tcPr>
            <w:tcW w:w="1344" w:type="dxa"/>
            <w:tcBorders>
              <w:top w:val="single" w:sz="6" w:space="0" w:color="auto"/>
              <w:left w:val="single" w:sz="6" w:space="0" w:color="auto"/>
              <w:bottom w:val="single" w:sz="6" w:space="0" w:color="auto"/>
              <w:right w:val="single" w:sz="6" w:space="0" w:color="auto"/>
            </w:tcBorders>
          </w:tcPr>
          <w:p w14:paraId="36BC671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751</w:t>
            </w:r>
          </w:p>
        </w:tc>
        <w:tc>
          <w:tcPr>
            <w:tcW w:w="1343" w:type="dxa"/>
            <w:tcBorders>
              <w:top w:val="single" w:sz="6" w:space="0" w:color="auto"/>
              <w:left w:val="single" w:sz="6" w:space="0" w:color="auto"/>
              <w:bottom w:val="single" w:sz="6" w:space="0" w:color="auto"/>
              <w:right w:val="single" w:sz="6" w:space="0" w:color="auto"/>
            </w:tcBorders>
          </w:tcPr>
          <w:p w14:paraId="74CAB3D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12.3</w:t>
            </w:r>
          </w:p>
        </w:tc>
        <w:tc>
          <w:tcPr>
            <w:tcW w:w="1344" w:type="dxa"/>
            <w:tcBorders>
              <w:top w:val="single" w:sz="6" w:space="0" w:color="auto"/>
              <w:left w:val="single" w:sz="6" w:space="0" w:color="auto"/>
              <w:bottom w:val="single" w:sz="6" w:space="0" w:color="auto"/>
              <w:right w:val="single" w:sz="6" w:space="0" w:color="auto"/>
            </w:tcBorders>
          </w:tcPr>
          <w:p w14:paraId="1F632A6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605</w:t>
            </w:r>
          </w:p>
        </w:tc>
        <w:tc>
          <w:tcPr>
            <w:tcW w:w="1343" w:type="dxa"/>
            <w:tcBorders>
              <w:top w:val="single" w:sz="6" w:space="0" w:color="auto"/>
              <w:left w:val="single" w:sz="6" w:space="0" w:color="auto"/>
              <w:bottom w:val="single" w:sz="6" w:space="0" w:color="auto"/>
              <w:right w:val="single" w:sz="6" w:space="0" w:color="auto"/>
            </w:tcBorders>
          </w:tcPr>
          <w:p w14:paraId="3A5FB59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1344" w:type="dxa"/>
            <w:tcBorders>
              <w:top w:val="single" w:sz="6" w:space="0" w:color="auto"/>
              <w:left w:val="single" w:sz="6" w:space="0" w:color="auto"/>
              <w:bottom w:val="single" w:sz="6" w:space="0" w:color="auto"/>
              <w:right w:val="single" w:sz="6" w:space="0" w:color="auto"/>
            </w:tcBorders>
          </w:tcPr>
          <w:p w14:paraId="04C771A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6,121</w:t>
            </w:r>
          </w:p>
        </w:tc>
      </w:tr>
      <w:tr w:rsidR="007A7E45" w:rsidRPr="00392E0D" w14:paraId="1522FD95"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033F0B4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24A18D1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4,366</w:t>
            </w:r>
          </w:p>
        </w:tc>
        <w:tc>
          <w:tcPr>
            <w:tcW w:w="1343" w:type="dxa"/>
            <w:tcBorders>
              <w:top w:val="single" w:sz="6" w:space="0" w:color="auto"/>
              <w:left w:val="single" w:sz="6" w:space="0" w:color="auto"/>
              <w:bottom w:val="single" w:sz="6" w:space="0" w:color="auto"/>
              <w:right w:val="single" w:sz="6" w:space="0" w:color="auto"/>
            </w:tcBorders>
          </w:tcPr>
          <w:p w14:paraId="64ADCE4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76.5</w:t>
            </w:r>
          </w:p>
        </w:tc>
        <w:tc>
          <w:tcPr>
            <w:tcW w:w="1344" w:type="dxa"/>
            <w:tcBorders>
              <w:top w:val="single" w:sz="6" w:space="0" w:color="auto"/>
              <w:left w:val="single" w:sz="6" w:space="0" w:color="auto"/>
              <w:bottom w:val="single" w:sz="6" w:space="0" w:color="auto"/>
              <w:right w:val="single" w:sz="6" w:space="0" w:color="auto"/>
            </w:tcBorders>
          </w:tcPr>
          <w:p w14:paraId="7AD0138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771</w:t>
            </w:r>
          </w:p>
        </w:tc>
        <w:tc>
          <w:tcPr>
            <w:tcW w:w="1343" w:type="dxa"/>
            <w:tcBorders>
              <w:top w:val="single" w:sz="6" w:space="0" w:color="auto"/>
              <w:left w:val="single" w:sz="6" w:space="0" w:color="auto"/>
              <w:bottom w:val="single" w:sz="6" w:space="0" w:color="auto"/>
              <w:right w:val="single" w:sz="6" w:space="0" w:color="auto"/>
            </w:tcBorders>
          </w:tcPr>
          <w:p w14:paraId="1B89D45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13.5</w:t>
            </w:r>
          </w:p>
        </w:tc>
        <w:tc>
          <w:tcPr>
            <w:tcW w:w="1344" w:type="dxa"/>
            <w:tcBorders>
              <w:top w:val="single" w:sz="6" w:space="0" w:color="auto"/>
              <w:left w:val="single" w:sz="6" w:space="0" w:color="auto"/>
              <w:bottom w:val="single" w:sz="6" w:space="0" w:color="auto"/>
              <w:right w:val="single" w:sz="6" w:space="0" w:color="auto"/>
            </w:tcBorders>
          </w:tcPr>
          <w:p w14:paraId="11A3232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568</w:t>
            </w:r>
          </w:p>
        </w:tc>
        <w:tc>
          <w:tcPr>
            <w:tcW w:w="1343" w:type="dxa"/>
            <w:tcBorders>
              <w:top w:val="single" w:sz="6" w:space="0" w:color="auto"/>
              <w:left w:val="single" w:sz="6" w:space="0" w:color="auto"/>
              <w:bottom w:val="single" w:sz="6" w:space="0" w:color="auto"/>
              <w:right w:val="single" w:sz="6" w:space="0" w:color="auto"/>
            </w:tcBorders>
          </w:tcPr>
          <w:p w14:paraId="3A87A4E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10.0</w:t>
            </w:r>
          </w:p>
        </w:tc>
        <w:tc>
          <w:tcPr>
            <w:tcW w:w="1344" w:type="dxa"/>
            <w:tcBorders>
              <w:top w:val="single" w:sz="6" w:space="0" w:color="auto"/>
              <w:left w:val="single" w:sz="6" w:space="0" w:color="auto"/>
              <w:bottom w:val="single" w:sz="6" w:space="0" w:color="auto"/>
              <w:right w:val="single" w:sz="6" w:space="0" w:color="auto"/>
            </w:tcBorders>
          </w:tcPr>
          <w:p w14:paraId="00CEB5D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5,705</w:t>
            </w:r>
          </w:p>
        </w:tc>
      </w:tr>
    </w:tbl>
    <w:p w14:paraId="1E0B8913" w14:textId="77777777" w:rsidR="00A337FF" w:rsidRPr="00392E0D" w:rsidRDefault="00A337FF" w:rsidP="007A7E45">
      <w:pPr>
        <w:pStyle w:val="Caption"/>
        <w:rPr>
          <w:rFonts w:cs="Arial"/>
        </w:rPr>
      </w:pPr>
    </w:p>
    <w:p w14:paraId="13016DCA" w14:textId="77777777" w:rsidR="00A337FF" w:rsidRPr="00392E0D" w:rsidRDefault="00A337FF">
      <w:pPr>
        <w:widowControl/>
        <w:autoSpaceDE/>
        <w:autoSpaceDN/>
        <w:rPr>
          <w:rFonts w:ascii="Arial" w:eastAsia="Times New Roman" w:hAnsi="Arial" w:cs="Arial"/>
          <w:color w:val="000000" w:themeColor="text1"/>
          <w:sz w:val="21"/>
          <w:szCs w:val="18"/>
        </w:rPr>
      </w:pPr>
      <w:r w:rsidRPr="00392E0D">
        <w:rPr>
          <w:rFonts w:ascii="Arial" w:hAnsi="Arial" w:cs="Arial"/>
        </w:rPr>
        <w:br w:type="page"/>
      </w:r>
    </w:p>
    <w:p w14:paraId="29E2EB82" w14:textId="17CD8F2F" w:rsidR="007A7E45" w:rsidRPr="00392E0D" w:rsidRDefault="007A7E45" w:rsidP="007A7E45">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92</w:t>
      </w:r>
      <w:r w:rsidRPr="00392E0D">
        <w:rPr>
          <w:rFonts w:cs="Arial"/>
        </w:rPr>
        <w:fldChar w:fldCharType="end"/>
      </w:r>
      <w:r w:rsidRPr="00392E0D">
        <w:rPr>
          <w:rFonts w:cs="Arial"/>
        </w:rPr>
        <w:tab/>
      </w:r>
      <w:r w:rsidRPr="00392E0D">
        <w:rPr>
          <w:rFonts w:eastAsiaTheme="minorHAnsi" w:cs="Arial"/>
          <w:lang w:val="en-AU"/>
        </w:rPr>
        <w:t>Tasmania trends (2009 – 2021) – Social Competence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A7E45" w:rsidRPr="00392E0D" w14:paraId="7E6E7857"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767C08F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0F7051A9" w14:textId="377582C2"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62F96BC7" w14:textId="787F924C"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15A891A7" w14:textId="4BCFE92C"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7EE87DC5" w14:textId="31118525"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382DE10F" w14:textId="590ADB1F"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531FC4E7" w14:textId="5AC89522"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04D1C490" w14:textId="22AF0584" w:rsidR="007A7E45" w:rsidRPr="00392E0D" w:rsidRDefault="009B7612"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A7E45" w:rsidRPr="00392E0D" w14:paraId="30579877"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6F0B8C0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2906D98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4,228</w:t>
            </w:r>
          </w:p>
        </w:tc>
        <w:tc>
          <w:tcPr>
            <w:tcW w:w="1343" w:type="dxa"/>
            <w:tcBorders>
              <w:top w:val="single" w:sz="6" w:space="0" w:color="auto"/>
              <w:left w:val="single" w:sz="6" w:space="0" w:color="auto"/>
              <w:bottom w:val="single" w:sz="6" w:space="0" w:color="auto"/>
              <w:right w:val="single" w:sz="6" w:space="0" w:color="auto"/>
            </w:tcBorders>
          </w:tcPr>
          <w:p w14:paraId="06D30D4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75.6</w:t>
            </w:r>
          </w:p>
        </w:tc>
        <w:tc>
          <w:tcPr>
            <w:tcW w:w="1344" w:type="dxa"/>
            <w:tcBorders>
              <w:top w:val="single" w:sz="6" w:space="0" w:color="auto"/>
              <w:left w:val="single" w:sz="6" w:space="0" w:color="auto"/>
              <w:bottom w:val="single" w:sz="6" w:space="0" w:color="auto"/>
              <w:right w:val="single" w:sz="6" w:space="0" w:color="auto"/>
            </w:tcBorders>
          </w:tcPr>
          <w:p w14:paraId="69B1D18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848</w:t>
            </w:r>
          </w:p>
        </w:tc>
        <w:tc>
          <w:tcPr>
            <w:tcW w:w="1343" w:type="dxa"/>
            <w:tcBorders>
              <w:top w:val="single" w:sz="6" w:space="0" w:color="auto"/>
              <w:left w:val="single" w:sz="6" w:space="0" w:color="auto"/>
              <w:bottom w:val="single" w:sz="6" w:space="0" w:color="auto"/>
              <w:right w:val="single" w:sz="6" w:space="0" w:color="auto"/>
            </w:tcBorders>
          </w:tcPr>
          <w:p w14:paraId="65BF4B3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15.2</w:t>
            </w:r>
          </w:p>
        </w:tc>
        <w:tc>
          <w:tcPr>
            <w:tcW w:w="1344" w:type="dxa"/>
            <w:tcBorders>
              <w:top w:val="single" w:sz="6" w:space="0" w:color="auto"/>
              <w:left w:val="single" w:sz="6" w:space="0" w:color="auto"/>
              <w:bottom w:val="single" w:sz="6" w:space="0" w:color="auto"/>
              <w:right w:val="single" w:sz="6" w:space="0" w:color="auto"/>
            </w:tcBorders>
          </w:tcPr>
          <w:p w14:paraId="76B5081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519</w:t>
            </w:r>
          </w:p>
        </w:tc>
        <w:tc>
          <w:tcPr>
            <w:tcW w:w="1343" w:type="dxa"/>
            <w:tcBorders>
              <w:top w:val="single" w:sz="6" w:space="0" w:color="auto"/>
              <w:left w:val="single" w:sz="6" w:space="0" w:color="auto"/>
              <w:bottom w:val="single" w:sz="6" w:space="0" w:color="auto"/>
              <w:right w:val="single" w:sz="6" w:space="0" w:color="auto"/>
            </w:tcBorders>
          </w:tcPr>
          <w:p w14:paraId="1A036FE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w:t>
            </w:r>
          </w:p>
        </w:tc>
        <w:tc>
          <w:tcPr>
            <w:tcW w:w="1344" w:type="dxa"/>
            <w:tcBorders>
              <w:top w:val="single" w:sz="6" w:space="0" w:color="auto"/>
              <w:left w:val="single" w:sz="6" w:space="0" w:color="auto"/>
              <w:bottom w:val="single" w:sz="6" w:space="0" w:color="auto"/>
              <w:right w:val="single" w:sz="6" w:space="0" w:color="auto"/>
            </w:tcBorders>
          </w:tcPr>
          <w:p w14:paraId="10E806B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5,595</w:t>
            </w:r>
          </w:p>
        </w:tc>
      </w:tr>
      <w:tr w:rsidR="007A7E45" w:rsidRPr="00392E0D" w14:paraId="4111F237"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2B80E73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0B332EF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4,456</w:t>
            </w:r>
          </w:p>
        </w:tc>
        <w:tc>
          <w:tcPr>
            <w:tcW w:w="1343" w:type="dxa"/>
            <w:tcBorders>
              <w:top w:val="single" w:sz="6" w:space="0" w:color="auto"/>
              <w:left w:val="single" w:sz="6" w:space="0" w:color="auto"/>
              <w:bottom w:val="single" w:sz="6" w:space="0" w:color="auto"/>
              <w:right w:val="single" w:sz="6" w:space="0" w:color="auto"/>
            </w:tcBorders>
          </w:tcPr>
          <w:p w14:paraId="459D17C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76.2</w:t>
            </w:r>
          </w:p>
        </w:tc>
        <w:tc>
          <w:tcPr>
            <w:tcW w:w="1344" w:type="dxa"/>
            <w:tcBorders>
              <w:top w:val="single" w:sz="6" w:space="0" w:color="auto"/>
              <w:left w:val="single" w:sz="6" w:space="0" w:color="auto"/>
              <w:bottom w:val="single" w:sz="6" w:space="0" w:color="auto"/>
              <w:right w:val="single" w:sz="6" w:space="0" w:color="auto"/>
            </w:tcBorders>
          </w:tcPr>
          <w:p w14:paraId="36A66F5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879</w:t>
            </w:r>
          </w:p>
        </w:tc>
        <w:tc>
          <w:tcPr>
            <w:tcW w:w="1343" w:type="dxa"/>
            <w:tcBorders>
              <w:top w:val="single" w:sz="6" w:space="0" w:color="auto"/>
              <w:left w:val="single" w:sz="6" w:space="0" w:color="auto"/>
              <w:bottom w:val="single" w:sz="6" w:space="0" w:color="auto"/>
              <w:right w:val="single" w:sz="6" w:space="0" w:color="auto"/>
            </w:tcBorders>
          </w:tcPr>
          <w:p w14:paraId="2A0AE12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w:t>
            </w:r>
          </w:p>
        </w:tc>
        <w:tc>
          <w:tcPr>
            <w:tcW w:w="1344" w:type="dxa"/>
            <w:tcBorders>
              <w:top w:val="single" w:sz="6" w:space="0" w:color="auto"/>
              <w:left w:val="single" w:sz="6" w:space="0" w:color="auto"/>
              <w:bottom w:val="single" w:sz="6" w:space="0" w:color="auto"/>
              <w:right w:val="single" w:sz="6" w:space="0" w:color="auto"/>
            </w:tcBorders>
          </w:tcPr>
          <w:p w14:paraId="7E6B9E7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513</w:t>
            </w:r>
          </w:p>
        </w:tc>
        <w:tc>
          <w:tcPr>
            <w:tcW w:w="1343" w:type="dxa"/>
            <w:tcBorders>
              <w:top w:val="single" w:sz="6" w:space="0" w:color="auto"/>
              <w:left w:val="single" w:sz="6" w:space="0" w:color="auto"/>
              <w:bottom w:val="single" w:sz="6" w:space="0" w:color="auto"/>
              <w:right w:val="single" w:sz="6" w:space="0" w:color="auto"/>
            </w:tcBorders>
          </w:tcPr>
          <w:p w14:paraId="01ABB95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8.8</w:t>
            </w:r>
          </w:p>
        </w:tc>
        <w:tc>
          <w:tcPr>
            <w:tcW w:w="1344" w:type="dxa"/>
            <w:tcBorders>
              <w:top w:val="single" w:sz="6" w:space="0" w:color="auto"/>
              <w:left w:val="single" w:sz="6" w:space="0" w:color="auto"/>
              <w:bottom w:val="single" w:sz="6" w:space="0" w:color="auto"/>
              <w:right w:val="single" w:sz="6" w:space="0" w:color="auto"/>
            </w:tcBorders>
          </w:tcPr>
          <w:p w14:paraId="33F109C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5,848</w:t>
            </w:r>
          </w:p>
        </w:tc>
      </w:tr>
      <w:tr w:rsidR="007A7E45" w:rsidRPr="00392E0D" w14:paraId="298BCF29"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6885F24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75ADA1B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4,718</w:t>
            </w:r>
          </w:p>
        </w:tc>
        <w:tc>
          <w:tcPr>
            <w:tcW w:w="1343" w:type="dxa"/>
            <w:tcBorders>
              <w:top w:val="single" w:sz="6" w:space="0" w:color="auto"/>
              <w:left w:val="single" w:sz="6" w:space="0" w:color="auto"/>
              <w:bottom w:val="single" w:sz="6" w:space="0" w:color="auto"/>
              <w:right w:val="single" w:sz="6" w:space="0" w:color="auto"/>
            </w:tcBorders>
          </w:tcPr>
          <w:p w14:paraId="2122656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76.6</w:t>
            </w:r>
          </w:p>
        </w:tc>
        <w:tc>
          <w:tcPr>
            <w:tcW w:w="1344" w:type="dxa"/>
            <w:tcBorders>
              <w:top w:val="single" w:sz="6" w:space="0" w:color="auto"/>
              <w:left w:val="single" w:sz="6" w:space="0" w:color="auto"/>
              <w:bottom w:val="single" w:sz="6" w:space="0" w:color="auto"/>
              <w:right w:val="single" w:sz="6" w:space="0" w:color="auto"/>
            </w:tcBorders>
          </w:tcPr>
          <w:p w14:paraId="3F987AE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913</w:t>
            </w:r>
          </w:p>
        </w:tc>
        <w:tc>
          <w:tcPr>
            <w:tcW w:w="1343" w:type="dxa"/>
            <w:tcBorders>
              <w:top w:val="single" w:sz="6" w:space="0" w:color="auto"/>
              <w:left w:val="single" w:sz="6" w:space="0" w:color="auto"/>
              <w:bottom w:val="single" w:sz="6" w:space="0" w:color="auto"/>
              <w:right w:val="single" w:sz="6" w:space="0" w:color="auto"/>
            </w:tcBorders>
          </w:tcPr>
          <w:p w14:paraId="57AEE38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w:t>
            </w:r>
          </w:p>
        </w:tc>
        <w:tc>
          <w:tcPr>
            <w:tcW w:w="1344" w:type="dxa"/>
            <w:tcBorders>
              <w:top w:val="single" w:sz="6" w:space="0" w:color="auto"/>
              <w:left w:val="single" w:sz="6" w:space="0" w:color="auto"/>
              <w:bottom w:val="single" w:sz="6" w:space="0" w:color="auto"/>
              <w:right w:val="single" w:sz="6" w:space="0" w:color="auto"/>
            </w:tcBorders>
          </w:tcPr>
          <w:p w14:paraId="6B5A969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528</w:t>
            </w:r>
          </w:p>
        </w:tc>
        <w:tc>
          <w:tcPr>
            <w:tcW w:w="1343" w:type="dxa"/>
            <w:tcBorders>
              <w:top w:val="single" w:sz="6" w:space="0" w:color="auto"/>
              <w:left w:val="single" w:sz="6" w:space="0" w:color="auto"/>
              <w:bottom w:val="single" w:sz="6" w:space="0" w:color="auto"/>
              <w:right w:val="single" w:sz="6" w:space="0" w:color="auto"/>
            </w:tcBorders>
          </w:tcPr>
          <w:p w14:paraId="0D4F163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8.6</w:t>
            </w:r>
          </w:p>
        </w:tc>
        <w:tc>
          <w:tcPr>
            <w:tcW w:w="1344" w:type="dxa"/>
            <w:tcBorders>
              <w:top w:val="single" w:sz="6" w:space="0" w:color="auto"/>
              <w:left w:val="single" w:sz="6" w:space="0" w:color="auto"/>
              <w:bottom w:val="single" w:sz="6" w:space="0" w:color="auto"/>
              <w:right w:val="single" w:sz="6" w:space="0" w:color="auto"/>
            </w:tcBorders>
          </w:tcPr>
          <w:p w14:paraId="2E12FD4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6,159</w:t>
            </w:r>
          </w:p>
        </w:tc>
      </w:tr>
      <w:tr w:rsidR="007A7E45" w:rsidRPr="00392E0D" w14:paraId="1750DCFA"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7397121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059EC18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4,698</w:t>
            </w:r>
          </w:p>
        </w:tc>
        <w:tc>
          <w:tcPr>
            <w:tcW w:w="1343" w:type="dxa"/>
            <w:tcBorders>
              <w:top w:val="single" w:sz="6" w:space="0" w:color="auto"/>
              <w:left w:val="single" w:sz="6" w:space="0" w:color="auto"/>
              <w:bottom w:val="single" w:sz="6" w:space="0" w:color="auto"/>
              <w:right w:val="single" w:sz="6" w:space="0" w:color="auto"/>
            </w:tcBorders>
          </w:tcPr>
          <w:p w14:paraId="3673D7A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77.0</w:t>
            </w:r>
          </w:p>
        </w:tc>
        <w:tc>
          <w:tcPr>
            <w:tcW w:w="1344" w:type="dxa"/>
            <w:tcBorders>
              <w:top w:val="single" w:sz="6" w:space="0" w:color="auto"/>
              <w:left w:val="single" w:sz="6" w:space="0" w:color="auto"/>
              <w:bottom w:val="single" w:sz="6" w:space="0" w:color="auto"/>
              <w:right w:val="single" w:sz="6" w:space="0" w:color="auto"/>
            </w:tcBorders>
          </w:tcPr>
          <w:p w14:paraId="1523DEB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903</w:t>
            </w:r>
          </w:p>
        </w:tc>
        <w:tc>
          <w:tcPr>
            <w:tcW w:w="1343" w:type="dxa"/>
            <w:tcBorders>
              <w:top w:val="single" w:sz="6" w:space="0" w:color="auto"/>
              <w:left w:val="single" w:sz="6" w:space="0" w:color="auto"/>
              <w:bottom w:val="single" w:sz="6" w:space="0" w:color="auto"/>
              <w:right w:val="single" w:sz="6" w:space="0" w:color="auto"/>
            </w:tcBorders>
          </w:tcPr>
          <w:p w14:paraId="1C23877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w:t>
            </w:r>
          </w:p>
        </w:tc>
        <w:tc>
          <w:tcPr>
            <w:tcW w:w="1344" w:type="dxa"/>
            <w:tcBorders>
              <w:top w:val="single" w:sz="6" w:space="0" w:color="auto"/>
              <w:left w:val="single" w:sz="6" w:space="0" w:color="auto"/>
              <w:bottom w:val="single" w:sz="6" w:space="0" w:color="auto"/>
              <w:right w:val="single" w:sz="6" w:space="0" w:color="auto"/>
            </w:tcBorders>
          </w:tcPr>
          <w:p w14:paraId="1A10C58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503</w:t>
            </w:r>
          </w:p>
        </w:tc>
        <w:tc>
          <w:tcPr>
            <w:tcW w:w="1343" w:type="dxa"/>
            <w:tcBorders>
              <w:top w:val="single" w:sz="6" w:space="0" w:color="auto"/>
              <w:left w:val="single" w:sz="6" w:space="0" w:color="auto"/>
              <w:bottom w:val="single" w:sz="6" w:space="0" w:color="auto"/>
              <w:right w:val="single" w:sz="6" w:space="0" w:color="auto"/>
            </w:tcBorders>
          </w:tcPr>
          <w:p w14:paraId="1076E26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w:t>
            </w:r>
          </w:p>
        </w:tc>
        <w:tc>
          <w:tcPr>
            <w:tcW w:w="1344" w:type="dxa"/>
            <w:tcBorders>
              <w:top w:val="single" w:sz="6" w:space="0" w:color="auto"/>
              <w:left w:val="single" w:sz="6" w:space="0" w:color="auto"/>
              <w:bottom w:val="single" w:sz="6" w:space="0" w:color="auto"/>
              <w:right w:val="single" w:sz="6" w:space="0" w:color="auto"/>
            </w:tcBorders>
          </w:tcPr>
          <w:p w14:paraId="3BD9384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6,104</w:t>
            </w:r>
          </w:p>
        </w:tc>
      </w:tr>
      <w:tr w:rsidR="007A7E45" w:rsidRPr="00392E0D" w14:paraId="43091B5E"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143A2CD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16D76C5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4,288</w:t>
            </w:r>
          </w:p>
        </w:tc>
        <w:tc>
          <w:tcPr>
            <w:tcW w:w="1343" w:type="dxa"/>
            <w:tcBorders>
              <w:top w:val="single" w:sz="6" w:space="0" w:color="auto"/>
              <w:left w:val="single" w:sz="6" w:space="0" w:color="auto"/>
              <w:bottom w:val="single" w:sz="6" w:space="0" w:color="auto"/>
              <w:right w:val="single" w:sz="6" w:space="0" w:color="auto"/>
            </w:tcBorders>
          </w:tcPr>
          <w:p w14:paraId="6164ABA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75.1</w:t>
            </w:r>
          </w:p>
        </w:tc>
        <w:tc>
          <w:tcPr>
            <w:tcW w:w="1344" w:type="dxa"/>
            <w:tcBorders>
              <w:top w:val="single" w:sz="6" w:space="0" w:color="auto"/>
              <w:left w:val="single" w:sz="6" w:space="0" w:color="auto"/>
              <w:bottom w:val="single" w:sz="6" w:space="0" w:color="auto"/>
              <w:right w:val="single" w:sz="6" w:space="0" w:color="auto"/>
            </w:tcBorders>
          </w:tcPr>
          <w:p w14:paraId="6E19581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923</w:t>
            </w:r>
          </w:p>
        </w:tc>
        <w:tc>
          <w:tcPr>
            <w:tcW w:w="1343" w:type="dxa"/>
            <w:tcBorders>
              <w:top w:val="single" w:sz="6" w:space="0" w:color="auto"/>
              <w:left w:val="single" w:sz="6" w:space="0" w:color="auto"/>
              <w:bottom w:val="single" w:sz="6" w:space="0" w:color="auto"/>
              <w:right w:val="single" w:sz="6" w:space="0" w:color="auto"/>
            </w:tcBorders>
          </w:tcPr>
          <w:p w14:paraId="5D5650D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c>
          <w:tcPr>
            <w:tcW w:w="1344" w:type="dxa"/>
            <w:tcBorders>
              <w:top w:val="single" w:sz="6" w:space="0" w:color="auto"/>
              <w:left w:val="single" w:sz="6" w:space="0" w:color="auto"/>
              <w:bottom w:val="single" w:sz="6" w:space="0" w:color="auto"/>
              <w:right w:val="single" w:sz="6" w:space="0" w:color="auto"/>
            </w:tcBorders>
          </w:tcPr>
          <w:p w14:paraId="5367143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495</w:t>
            </w:r>
          </w:p>
        </w:tc>
        <w:tc>
          <w:tcPr>
            <w:tcW w:w="1343" w:type="dxa"/>
            <w:tcBorders>
              <w:top w:val="single" w:sz="6" w:space="0" w:color="auto"/>
              <w:left w:val="single" w:sz="6" w:space="0" w:color="auto"/>
              <w:bottom w:val="single" w:sz="6" w:space="0" w:color="auto"/>
              <w:right w:val="single" w:sz="6" w:space="0" w:color="auto"/>
            </w:tcBorders>
          </w:tcPr>
          <w:p w14:paraId="347EE42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w:t>
            </w:r>
          </w:p>
        </w:tc>
        <w:tc>
          <w:tcPr>
            <w:tcW w:w="1344" w:type="dxa"/>
            <w:tcBorders>
              <w:top w:val="single" w:sz="6" w:space="0" w:color="auto"/>
              <w:left w:val="single" w:sz="6" w:space="0" w:color="auto"/>
              <w:bottom w:val="single" w:sz="6" w:space="0" w:color="auto"/>
              <w:right w:val="single" w:sz="6" w:space="0" w:color="auto"/>
            </w:tcBorders>
          </w:tcPr>
          <w:p w14:paraId="0303C78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5,706</w:t>
            </w:r>
          </w:p>
        </w:tc>
      </w:tr>
    </w:tbl>
    <w:p w14:paraId="3C00113A" w14:textId="5FA93A1F" w:rsidR="007A7E45" w:rsidRPr="00392E0D" w:rsidRDefault="007A7E45" w:rsidP="007A7E4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93</w:t>
      </w:r>
      <w:r w:rsidRPr="00392E0D">
        <w:rPr>
          <w:rFonts w:cs="Arial"/>
        </w:rPr>
        <w:fldChar w:fldCharType="end"/>
      </w:r>
      <w:r w:rsidRPr="00392E0D">
        <w:rPr>
          <w:rFonts w:cs="Arial"/>
        </w:rPr>
        <w:tab/>
      </w:r>
      <w:r w:rsidRPr="00392E0D">
        <w:rPr>
          <w:rFonts w:eastAsiaTheme="minorHAnsi" w:cs="Arial"/>
          <w:lang w:val="en-AU"/>
        </w:rPr>
        <w:t>Tasmania trends (2009 – 2021) – Emotional Maturity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A7E45" w:rsidRPr="00392E0D" w14:paraId="6906BF44"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tcPr>
          <w:p w14:paraId="786D46A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133DAB27" w14:textId="26BD658A" w:rsidR="007A7E45" w:rsidRPr="00392E0D" w:rsidRDefault="00ED2465" w:rsidP="00A337F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3FDBA925" w14:textId="05CCE6E1" w:rsidR="007A7E45" w:rsidRPr="00392E0D" w:rsidRDefault="00ED2465" w:rsidP="00A337F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68F4D033" w14:textId="4D687A4E" w:rsidR="007A7E45" w:rsidRPr="00392E0D" w:rsidRDefault="00ED2465" w:rsidP="00A337F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12E4139D" w14:textId="08D821E6" w:rsidR="007A7E45" w:rsidRPr="00392E0D" w:rsidRDefault="00ED2465" w:rsidP="00A337F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2D134C4" w14:textId="1E4AF971" w:rsidR="007A7E45" w:rsidRPr="00392E0D" w:rsidRDefault="00ED2465" w:rsidP="00A337F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3EE22F06" w14:textId="4527A1C4" w:rsidR="007A7E45" w:rsidRPr="00392E0D" w:rsidRDefault="00ED2465" w:rsidP="00A337F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0632E1A2" w14:textId="79E5547A" w:rsidR="007A7E45" w:rsidRPr="00392E0D" w:rsidRDefault="009B7612" w:rsidP="00A337FF">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A7E45" w:rsidRPr="00392E0D" w14:paraId="4E24CCFA"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42E4957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56475A3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4,132</w:t>
            </w:r>
          </w:p>
        </w:tc>
        <w:tc>
          <w:tcPr>
            <w:tcW w:w="1343" w:type="dxa"/>
            <w:tcBorders>
              <w:top w:val="single" w:sz="6" w:space="0" w:color="auto"/>
              <w:left w:val="single" w:sz="6" w:space="0" w:color="auto"/>
              <w:bottom w:val="single" w:sz="6" w:space="0" w:color="auto"/>
              <w:right w:val="single" w:sz="6" w:space="0" w:color="auto"/>
            </w:tcBorders>
          </w:tcPr>
          <w:p w14:paraId="0A5DA5B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73.9</w:t>
            </w:r>
          </w:p>
        </w:tc>
        <w:tc>
          <w:tcPr>
            <w:tcW w:w="1344" w:type="dxa"/>
            <w:tcBorders>
              <w:top w:val="single" w:sz="6" w:space="0" w:color="auto"/>
              <w:left w:val="single" w:sz="6" w:space="0" w:color="auto"/>
              <w:bottom w:val="single" w:sz="6" w:space="0" w:color="auto"/>
              <w:right w:val="single" w:sz="6" w:space="0" w:color="auto"/>
            </w:tcBorders>
          </w:tcPr>
          <w:p w14:paraId="45ABF36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885</w:t>
            </w:r>
          </w:p>
        </w:tc>
        <w:tc>
          <w:tcPr>
            <w:tcW w:w="1343" w:type="dxa"/>
            <w:tcBorders>
              <w:top w:val="single" w:sz="6" w:space="0" w:color="auto"/>
              <w:left w:val="single" w:sz="6" w:space="0" w:color="auto"/>
              <w:bottom w:val="single" w:sz="6" w:space="0" w:color="auto"/>
              <w:right w:val="single" w:sz="6" w:space="0" w:color="auto"/>
            </w:tcBorders>
          </w:tcPr>
          <w:p w14:paraId="70A511D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w:t>
            </w:r>
          </w:p>
        </w:tc>
        <w:tc>
          <w:tcPr>
            <w:tcW w:w="1344" w:type="dxa"/>
            <w:tcBorders>
              <w:top w:val="single" w:sz="6" w:space="0" w:color="auto"/>
              <w:left w:val="single" w:sz="6" w:space="0" w:color="auto"/>
              <w:bottom w:val="single" w:sz="6" w:space="0" w:color="auto"/>
              <w:right w:val="single" w:sz="6" w:space="0" w:color="auto"/>
            </w:tcBorders>
          </w:tcPr>
          <w:p w14:paraId="07AABFD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573</w:t>
            </w:r>
          </w:p>
        </w:tc>
        <w:tc>
          <w:tcPr>
            <w:tcW w:w="1343" w:type="dxa"/>
            <w:tcBorders>
              <w:top w:val="single" w:sz="6" w:space="0" w:color="auto"/>
              <w:left w:val="single" w:sz="6" w:space="0" w:color="auto"/>
              <w:bottom w:val="single" w:sz="6" w:space="0" w:color="auto"/>
              <w:right w:val="single" w:sz="6" w:space="0" w:color="auto"/>
            </w:tcBorders>
          </w:tcPr>
          <w:p w14:paraId="3C8DBD39" w14:textId="77777777" w:rsidR="007A7E45" w:rsidRPr="00392E0D" w:rsidRDefault="007A7E45" w:rsidP="007A7E45">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10.3</w:t>
            </w:r>
          </w:p>
        </w:tc>
        <w:tc>
          <w:tcPr>
            <w:tcW w:w="1344" w:type="dxa"/>
            <w:tcBorders>
              <w:top w:val="single" w:sz="6" w:space="0" w:color="auto"/>
              <w:left w:val="single" w:sz="6" w:space="0" w:color="auto"/>
              <w:bottom w:val="single" w:sz="6" w:space="0" w:color="auto"/>
              <w:right w:val="single" w:sz="6" w:space="0" w:color="auto"/>
            </w:tcBorders>
          </w:tcPr>
          <w:p w14:paraId="24A0F6B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5,590</w:t>
            </w:r>
          </w:p>
        </w:tc>
      </w:tr>
      <w:tr w:rsidR="007A7E45" w:rsidRPr="00392E0D" w14:paraId="2895728B"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74D8632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2C60517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4,403</w:t>
            </w:r>
          </w:p>
        </w:tc>
        <w:tc>
          <w:tcPr>
            <w:tcW w:w="1343" w:type="dxa"/>
            <w:tcBorders>
              <w:top w:val="single" w:sz="6" w:space="0" w:color="auto"/>
              <w:left w:val="single" w:sz="6" w:space="0" w:color="auto"/>
              <w:bottom w:val="single" w:sz="6" w:space="0" w:color="auto"/>
              <w:right w:val="single" w:sz="6" w:space="0" w:color="auto"/>
            </w:tcBorders>
          </w:tcPr>
          <w:p w14:paraId="06231A8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75.4</w:t>
            </w:r>
          </w:p>
        </w:tc>
        <w:tc>
          <w:tcPr>
            <w:tcW w:w="1344" w:type="dxa"/>
            <w:tcBorders>
              <w:top w:val="single" w:sz="6" w:space="0" w:color="auto"/>
              <w:left w:val="single" w:sz="6" w:space="0" w:color="auto"/>
              <w:bottom w:val="single" w:sz="6" w:space="0" w:color="auto"/>
              <w:right w:val="single" w:sz="6" w:space="0" w:color="auto"/>
            </w:tcBorders>
          </w:tcPr>
          <w:p w14:paraId="0BBD790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898</w:t>
            </w:r>
          </w:p>
        </w:tc>
        <w:tc>
          <w:tcPr>
            <w:tcW w:w="1343" w:type="dxa"/>
            <w:tcBorders>
              <w:top w:val="single" w:sz="6" w:space="0" w:color="auto"/>
              <w:left w:val="single" w:sz="6" w:space="0" w:color="auto"/>
              <w:bottom w:val="single" w:sz="6" w:space="0" w:color="auto"/>
              <w:right w:val="single" w:sz="6" w:space="0" w:color="auto"/>
            </w:tcBorders>
          </w:tcPr>
          <w:p w14:paraId="7ED895B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w:t>
            </w:r>
          </w:p>
        </w:tc>
        <w:tc>
          <w:tcPr>
            <w:tcW w:w="1344" w:type="dxa"/>
            <w:tcBorders>
              <w:top w:val="single" w:sz="6" w:space="0" w:color="auto"/>
              <w:left w:val="single" w:sz="6" w:space="0" w:color="auto"/>
              <w:bottom w:val="single" w:sz="6" w:space="0" w:color="auto"/>
              <w:right w:val="single" w:sz="6" w:space="0" w:color="auto"/>
            </w:tcBorders>
          </w:tcPr>
          <w:p w14:paraId="55F3C88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535</w:t>
            </w:r>
          </w:p>
        </w:tc>
        <w:tc>
          <w:tcPr>
            <w:tcW w:w="1343" w:type="dxa"/>
            <w:tcBorders>
              <w:top w:val="single" w:sz="6" w:space="0" w:color="auto"/>
              <w:left w:val="single" w:sz="6" w:space="0" w:color="auto"/>
              <w:bottom w:val="single" w:sz="6" w:space="0" w:color="auto"/>
              <w:right w:val="single" w:sz="6" w:space="0" w:color="auto"/>
            </w:tcBorders>
          </w:tcPr>
          <w:p w14:paraId="04617882" w14:textId="77777777" w:rsidR="007A7E45" w:rsidRPr="00392E0D" w:rsidRDefault="007A7E45" w:rsidP="007A7E45">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w:t>
            </w:r>
          </w:p>
        </w:tc>
        <w:tc>
          <w:tcPr>
            <w:tcW w:w="1344" w:type="dxa"/>
            <w:tcBorders>
              <w:top w:val="single" w:sz="6" w:space="0" w:color="auto"/>
              <w:left w:val="single" w:sz="6" w:space="0" w:color="auto"/>
              <w:bottom w:val="single" w:sz="6" w:space="0" w:color="auto"/>
              <w:right w:val="single" w:sz="6" w:space="0" w:color="auto"/>
            </w:tcBorders>
          </w:tcPr>
          <w:p w14:paraId="2A58B7F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5,836</w:t>
            </w:r>
          </w:p>
        </w:tc>
      </w:tr>
      <w:tr w:rsidR="007A7E45" w:rsidRPr="00392E0D" w14:paraId="7C062874"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0857F7B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31C8052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4,638</w:t>
            </w:r>
          </w:p>
        </w:tc>
        <w:tc>
          <w:tcPr>
            <w:tcW w:w="1343" w:type="dxa"/>
            <w:tcBorders>
              <w:top w:val="single" w:sz="6" w:space="0" w:color="auto"/>
              <w:left w:val="single" w:sz="6" w:space="0" w:color="auto"/>
              <w:bottom w:val="single" w:sz="6" w:space="0" w:color="auto"/>
              <w:right w:val="single" w:sz="6" w:space="0" w:color="auto"/>
            </w:tcBorders>
          </w:tcPr>
          <w:p w14:paraId="617B37F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75.3</w:t>
            </w:r>
          </w:p>
        </w:tc>
        <w:tc>
          <w:tcPr>
            <w:tcW w:w="1344" w:type="dxa"/>
            <w:tcBorders>
              <w:top w:val="single" w:sz="6" w:space="0" w:color="auto"/>
              <w:left w:val="single" w:sz="6" w:space="0" w:color="auto"/>
              <w:bottom w:val="single" w:sz="6" w:space="0" w:color="auto"/>
              <w:right w:val="single" w:sz="6" w:space="0" w:color="auto"/>
            </w:tcBorders>
          </w:tcPr>
          <w:p w14:paraId="4F1E9D1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975</w:t>
            </w:r>
          </w:p>
        </w:tc>
        <w:tc>
          <w:tcPr>
            <w:tcW w:w="1343" w:type="dxa"/>
            <w:tcBorders>
              <w:top w:val="single" w:sz="6" w:space="0" w:color="auto"/>
              <w:left w:val="single" w:sz="6" w:space="0" w:color="auto"/>
              <w:bottom w:val="single" w:sz="6" w:space="0" w:color="auto"/>
              <w:right w:val="single" w:sz="6" w:space="0" w:color="auto"/>
            </w:tcBorders>
          </w:tcPr>
          <w:p w14:paraId="647CD16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w:t>
            </w:r>
          </w:p>
        </w:tc>
        <w:tc>
          <w:tcPr>
            <w:tcW w:w="1344" w:type="dxa"/>
            <w:tcBorders>
              <w:top w:val="single" w:sz="6" w:space="0" w:color="auto"/>
              <w:left w:val="single" w:sz="6" w:space="0" w:color="auto"/>
              <w:bottom w:val="single" w:sz="6" w:space="0" w:color="auto"/>
              <w:right w:val="single" w:sz="6" w:space="0" w:color="auto"/>
            </w:tcBorders>
          </w:tcPr>
          <w:p w14:paraId="2379F45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545</w:t>
            </w:r>
          </w:p>
        </w:tc>
        <w:tc>
          <w:tcPr>
            <w:tcW w:w="1343" w:type="dxa"/>
            <w:tcBorders>
              <w:top w:val="single" w:sz="6" w:space="0" w:color="auto"/>
              <w:left w:val="single" w:sz="6" w:space="0" w:color="auto"/>
              <w:bottom w:val="single" w:sz="6" w:space="0" w:color="auto"/>
              <w:right w:val="single" w:sz="6" w:space="0" w:color="auto"/>
            </w:tcBorders>
          </w:tcPr>
          <w:p w14:paraId="189EC575" w14:textId="77777777" w:rsidR="007A7E45" w:rsidRPr="00392E0D" w:rsidRDefault="007A7E45" w:rsidP="007A7E45">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c>
          <w:tcPr>
            <w:tcW w:w="1344" w:type="dxa"/>
            <w:tcBorders>
              <w:top w:val="single" w:sz="6" w:space="0" w:color="auto"/>
              <w:left w:val="single" w:sz="6" w:space="0" w:color="auto"/>
              <w:bottom w:val="single" w:sz="6" w:space="0" w:color="auto"/>
              <w:right w:val="single" w:sz="6" w:space="0" w:color="auto"/>
            </w:tcBorders>
          </w:tcPr>
          <w:p w14:paraId="1E09E0E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6,158</w:t>
            </w:r>
          </w:p>
        </w:tc>
      </w:tr>
      <w:tr w:rsidR="007A7E45" w:rsidRPr="00392E0D" w14:paraId="12F3313C"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134AD3D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38AEAA8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4,740</w:t>
            </w:r>
          </w:p>
        </w:tc>
        <w:tc>
          <w:tcPr>
            <w:tcW w:w="1343" w:type="dxa"/>
            <w:tcBorders>
              <w:top w:val="single" w:sz="6" w:space="0" w:color="auto"/>
              <w:left w:val="single" w:sz="6" w:space="0" w:color="auto"/>
              <w:bottom w:val="single" w:sz="6" w:space="0" w:color="auto"/>
              <w:right w:val="single" w:sz="6" w:space="0" w:color="auto"/>
            </w:tcBorders>
          </w:tcPr>
          <w:p w14:paraId="1FD04CA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77.1</w:t>
            </w:r>
          </w:p>
        </w:tc>
        <w:tc>
          <w:tcPr>
            <w:tcW w:w="1344" w:type="dxa"/>
            <w:tcBorders>
              <w:top w:val="single" w:sz="6" w:space="0" w:color="auto"/>
              <w:left w:val="single" w:sz="6" w:space="0" w:color="auto"/>
              <w:bottom w:val="single" w:sz="6" w:space="0" w:color="auto"/>
              <w:right w:val="single" w:sz="6" w:space="0" w:color="auto"/>
            </w:tcBorders>
          </w:tcPr>
          <w:p w14:paraId="1518FC6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908</w:t>
            </w:r>
          </w:p>
        </w:tc>
        <w:tc>
          <w:tcPr>
            <w:tcW w:w="1343" w:type="dxa"/>
            <w:tcBorders>
              <w:top w:val="single" w:sz="6" w:space="0" w:color="auto"/>
              <w:left w:val="single" w:sz="6" w:space="0" w:color="auto"/>
              <w:bottom w:val="single" w:sz="6" w:space="0" w:color="auto"/>
              <w:right w:val="single" w:sz="6" w:space="0" w:color="auto"/>
            </w:tcBorders>
          </w:tcPr>
          <w:p w14:paraId="7A96F60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w:t>
            </w:r>
          </w:p>
        </w:tc>
        <w:tc>
          <w:tcPr>
            <w:tcW w:w="1344" w:type="dxa"/>
            <w:tcBorders>
              <w:top w:val="single" w:sz="6" w:space="0" w:color="auto"/>
              <w:left w:val="single" w:sz="6" w:space="0" w:color="auto"/>
              <w:bottom w:val="single" w:sz="6" w:space="0" w:color="auto"/>
              <w:right w:val="single" w:sz="6" w:space="0" w:color="auto"/>
            </w:tcBorders>
          </w:tcPr>
          <w:p w14:paraId="0C69F7E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501</w:t>
            </w:r>
          </w:p>
        </w:tc>
        <w:tc>
          <w:tcPr>
            <w:tcW w:w="1343" w:type="dxa"/>
            <w:tcBorders>
              <w:top w:val="single" w:sz="6" w:space="0" w:color="auto"/>
              <w:left w:val="single" w:sz="6" w:space="0" w:color="auto"/>
              <w:bottom w:val="single" w:sz="6" w:space="0" w:color="auto"/>
              <w:right w:val="single" w:sz="6" w:space="0" w:color="auto"/>
            </w:tcBorders>
          </w:tcPr>
          <w:p w14:paraId="58587F7B" w14:textId="77777777" w:rsidR="007A7E45" w:rsidRPr="00392E0D" w:rsidRDefault="007A7E45" w:rsidP="007A7E45">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w:t>
            </w:r>
          </w:p>
        </w:tc>
        <w:tc>
          <w:tcPr>
            <w:tcW w:w="1344" w:type="dxa"/>
            <w:tcBorders>
              <w:top w:val="single" w:sz="6" w:space="0" w:color="auto"/>
              <w:left w:val="single" w:sz="6" w:space="0" w:color="auto"/>
              <w:bottom w:val="single" w:sz="6" w:space="0" w:color="auto"/>
              <w:right w:val="single" w:sz="6" w:space="0" w:color="auto"/>
            </w:tcBorders>
          </w:tcPr>
          <w:p w14:paraId="561F89B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6,149</w:t>
            </w:r>
          </w:p>
        </w:tc>
      </w:tr>
      <w:tr w:rsidR="007A7E45" w:rsidRPr="00392E0D" w14:paraId="5D710C70"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16B4990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295F46E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4,317</w:t>
            </w:r>
          </w:p>
        </w:tc>
        <w:tc>
          <w:tcPr>
            <w:tcW w:w="1343" w:type="dxa"/>
            <w:tcBorders>
              <w:top w:val="single" w:sz="6" w:space="0" w:color="auto"/>
              <w:left w:val="single" w:sz="6" w:space="0" w:color="auto"/>
              <w:bottom w:val="single" w:sz="6" w:space="0" w:color="auto"/>
              <w:right w:val="single" w:sz="6" w:space="0" w:color="auto"/>
            </w:tcBorders>
          </w:tcPr>
          <w:p w14:paraId="47310AC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75.9</w:t>
            </w:r>
          </w:p>
        </w:tc>
        <w:tc>
          <w:tcPr>
            <w:tcW w:w="1344" w:type="dxa"/>
            <w:tcBorders>
              <w:top w:val="single" w:sz="6" w:space="0" w:color="auto"/>
              <w:left w:val="single" w:sz="6" w:space="0" w:color="auto"/>
              <w:bottom w:val="single" w:sz="6" w:space="0" w:color="auto"/>
              <w:right w:val="single" w:sz="6" w:space="0" w:color="auto"/>
            </w:tcBorders>
          </w:tcPr>
          <w:p w14:paraId="3F783B5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889</w:t>
            </w:r>
          </w:p>
        </w:tc>
        <w:tc>
          <w:tcPr>
            <w:tcW w:w="1343" w:type="dxa"/>
            <w:tcBorders>
              <w:top w:val="single" w:sz="6" w:space="0" w:color="auto"/>
              <w:left w:val="single" w:sz="6" w:space="0" w:color="auto"/>
              <w:bottom w:val="single" w:sz="6" w:space="0" w:color="auto"/>
              <w:right w:val="single" w:sz="6" w:space="0" w:color="auto"/>
            </w:tcBorders>
          </w:tcPr>
          <w:p w14:paraId="0289E69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344" w:type="dxa"/>
            <w:tcBorders>
              <w:top w:val="single" w:sz="6" w:space="0" w:color="auto"/>
              <w:left w:val="single" w:sz="6" w:space="0" w:color="auto"/>
              <w:bottom w:val="single" w:sz="6" w:space="0" w:color="auto"/>
              <w:right w:val="single" w:sz="6" w:space="0" w:color="auto"/>
            </w:tcBorders>
          </w:tcPr>
          <w:p w14:paraId="7F5F916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484</w:t>
            </w:r>
          </w:p>
        </w:tc>
        <w:tc>
          <w:tcPr>
            <w:tcW w:w="1343" w:type="dxa"/>
            <w:tcBorders>
              <w:top w:val="single" w:sz="6" w:space="0" w:color="auto"/>
              <w:left w:val="single" w:sz="6" w:space="0" w:color="auto"/>
              <w:bottom w:val="single" w:sz="6" w:space="0" w:color="auto"/>
              <w:right w:val="single" w:sz="6" w:space="0" w:color="auto"/>
            </w:tcBorders>
          </w:tcPr>
          <w:p w14:paraId="105A343A" w14:textId="77777777" w:rsidR="007A7E45" w:rsidRPr="00392E0D" w:rsidRDefault="007A7E45" w:rsidP="007A7E45">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w:t>
            </w:r>
          </w:p>
        </w:tc>
        <w:tc>
          <w:tcPr>
            <w:tcW w:w="1344" w:type="dxa"/>
            <w:tcBorders>
              <w:top w:val="single" w:sz="6" w:space="0" w:color="auto"/>
              <w:left w:val="single" w:sz="6" w:space="0" w:color="auto"/>
              <w:bottom w:val="single" w:sz="6" w:space="0" w:color="auto"/>
              <w:right w:val="single" w:sz="6" w:space="0" w:color="auto"/>
            </w:tcBorders>
          </w:tcPr>
          <w:p w14:paraId="6F925FC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5,690</w:t>
            </w:r>
          </w:p>
        </w:tc>
      </w:tr>
    </w:tbl>
    <w:p w14:paraId="6E60054F" w14:textId="2E1B04C2" w:rsidR="007A7E45" w:rsidRPr="00392E0D" w:rsidRDefault="007A7E45" w:rsidP="007A7E45">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94</w:t>
      </w:r>
      <w:r w:rsidRPr="00392E0D">
        <w:rPr>
          <w:rFonts w:cs="Arial"/>
        </w:rPr>
        <w:fldChar w:fldCharType="end"/>
      </w:r>
      <w:r w:rsidRPr="00392E0D">
        <w:rPr>
          <w:rFonts w:cs="Arial"/>
        </w:rPr>
        <w:tab/>
      </w:r>
      <w:r w:rsidRPr="00392E0D">
        <w:rPr>
          <w:rFonts w:eastAsiaTheme="minorHAnsi" w:cs="Arial"/>
          <w:lang w:val="en-AU"/>
        </w:rPr>
        <w:t>Tasmania trends (2009 – 2021) – Language and cognitive skills (school-based)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A7E45" w:rsidRPr="00392E0D" w14:paraId="0ED23BA3"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5268E4D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1D20FA82" w14:textId="6B1A9290"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1537093F" w14:textId="38EAE6C2"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7B6A7C51" w14:textId="665F20B4"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3F3025BD" w14:textId="5EAADF08"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3524964F" w14:textId="657DEE84"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57A71596" w14:textId="0B787648"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3FF400DF" w14:textId="49526D16" w:rsidR="007A7E45" w:rsidRPr="00392E0D" w:rsidRDefault="009B7612"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A7E45" w:rsidRPr="00392E0D" w14:paraId="2BEE24A6"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3246A0C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5A92AD7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4,329</w:t>
            </w:r>
          </w:p>
        </w:tc>
        <w:tc>
          <w:tcPr>
            <w:tcW w:w="1343" w:type="dxa"/>
            <w:tcBorders>
              <w:top w:val="single" w:sz="6" w:space="0" w:color="auto"/>
              <w:left w:val="single" w:sz="6" w:space="0" w:color="auto"/>
              <w:bottom w:val="single" w:sz="6" w:space="0" w:color="auto"/>
              <w:right w:val="single" w:sz="6" w:space="0" w:color="auto"/>
            </w:tcBorders>
          </w:tcPr>
          <w:p w14:paraId="48165AE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77.4</w:t>
            </w:r>
          </w:p>
        </w:tc>
        <w:tc>
          <w:tcPr>
            <w:tcW w:w="1344" w:type="dxa"/>
            <w:tcBorders>
              <w:top w:val="single" w:sz="6" w:space="0" w:color="auto"/>
              <w:left w:val="single" w:sz="6" w:space="0" w:color="auto"/>
              <w:bottom w:val="single" w:sz="6" w:space="0" w:color="auto"/>
              <w:right w:val="single" w:sz="6" w:space="0" w:color="auto"/>
            </w:tcBorders>
          </w:tcPr>
          <w:p w14:paraId="1CAAC04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749</w:t>
            </w:r>
          </w:p>
        </w:tc>
        <w:tc>
          <w:tcPr>
            <w:tcW w:w="1343" w:type="dxa"/>
            <w:tcBorders>
              <w:top w:val="single" w:sz="6" w:space="0" w:color="auto"/>
              <w:left w:val="single" w:sz="6" w:space="0" w:color="auto"/>
              <w:bottom w:val="single" w:sz="6" w:space="0" w:color="auto"/>
              <w:right w:val="single" w:sz="6" w:space="0" w:color="auto"/>
            </w:tcBorders>
          </w:tcPr>
          <w:p w14:paraId="5D9FA55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w:t>
            </w:r>
          </w:p>
        </w:tc>
        <w:tc>
          <w:tcPr>
            <w:tcW w:w="1344" w:type="dxa"/>
            <w:tcBorders>
              <w:top w:val="single" w:sz="6" w:space="0" w:color="auto"/>
              <w:left w:val="single" w:sz="6" w:space="0" w:color="auto"/>
              <w:bottom w:val="single" w:sz="6" w:space="0" w:color="auto"/>
              <w:right w:val="single" w:sz="6" w:space="0" w:color="auto"/>
            </w:tcBorders>
          </w:tcPr>
          <w:p w14:paraId="50968E8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514</w:t>
            </w:r>
          </w:p>
        </w:tc>
        <w:tc>
          <w:tcPr>
            <w:tcW w:w="1343" w:type="dxa"/>
            <w:tcBorders>
              <w:top w:val="single" w:sz="6" w:space="0" w:color="auto"/>
              <w:left w:val="single" w:sz="6" w:space="0" w:color="auto"/>
              <w:bottom w:val="single" w:sz="6" w:space="0" w:color="auto"/>
              <w:right w:val="single" w:sz="6" w:space="0" w:color="auto"/>
            </w:tcBorders>
          </w:tcPr>
          <w:p w14:paraId="3AE703B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w:t>
            </w:r>
          </w:p>
        </w:tc>
        <w:tc>
          <w:tcPr>
            <w:tcW w:w="1344" w:type="dxa"/>
            <w:tcBorders>
              <w:top w:val="single" w:sz="6" w:space="0" w:color="auto"/>
              <w:left w:val="single" w:sz="6" w:space="0" w:color="auto"/>
              <w:bottom w:val="single" w:sz="6" w:space="0" w:color="auto"/>
              <w:right w:val="single" w:sz="6" w:space="0" w:color="auto"/>
            </w:tcBorders>
          </w:tcPr>
          <w:p w14:paraId="4B87986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5,592</w:t>
            </w:r>
          </w:p>
        </w:tc>
      </w:tr>
      <w:tr w:rsidR="007A7E45" w:rsidRPr="00392E0D" w14:paraId="550A06B3"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6A00B27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37CC82D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4,701</w:t>
            </w:r>
          </w:p>
        </w:tc>
        <w:tc>
          <w:tcPr>
            <w:tcW w:w="1343" w:type="dxa"/>
            <w:tcBorders>
              <w:top w:val="single" w:sz="6" w:space="0" w:color="auto"/>
              <w:left w:val="single" w:sz="6" w:space="0" w:color="auto"/>
              <w:bottom w:val="single" w:sz="6" w:space="0" w:color="auto"/>
              <w:right w:val="single" w:sz="6" w:space="0" w:color="auto"/>
            </w:tcBorders>
          </w:tcPr>
          <w:p w14:paraId="3BC4174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80.6</w:t>
            </w:r>
          </w:p>
        </w:tc>
        <w:tc>
          <w:tcPr>
            <w:tcW w:w="1344" w:type="dxa"/>
            <w:tcBorders>
              <w:top w:val="single" w:sz="6" w:space="0" w:color="auto"/>
              <w:left w:val="single" w:sz="6" w:space="0" w:color="auto"/>
              <w:bottom w:val="single" w:sz="6" w:space="0" w:color="auto"/>
              <w:right w:val="single" w:sz="6" w:space="0" w:color="auto"/>
            </w:tcBorders>
          </w:tcPr>
          <w:p w14:paraId="6CBD8F8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660</w:t>
            </w:r>
          </w:p>
        </w:tc>
        <w:tc>
          <w:tcPr>
            <w:tcW w:w="1343" w:type="dxa"/>
            <w:tcBorders>
              <w:top w:val="single" w:sz="6" w:space="0" w:color="auto"/>
              <w:left w:val="single" w:sz="6" w:space="0" w:color="auto"/>
              <w:bottom w:val="single" w:sz="6" w:space="0" w:color="auto"/>
              <w:right w:val="single" w:sz="6" w:space="0" w:color="auto"/>
            </w:tcBorders>
          </w:tcPr>
          <w:p w14:paraId="3F370EB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11.3</w:t>
            </w:r>
          </w:p>
        </w:tc>
        <w:tc>
          <w:tcPr>
            <w:tcW w:w="1344" w:type="dxa"/>
            <w:tcBorders>
              <w:top w:val="single" w:sz="6" w:space="0" w:color="auto"/>
              <w:left w:val="single" w:sz="6" w:space="0" w:color="auto"/>
              <w:bottom w:val="single" w:sz="6" w:space="0" w:color="auto"/>
              <w:right w:val="single" w:sz="6" w:space="0" w:color="auto"/>
            </w:tcBorders>
          </w:tcPr>
          <w:p w14:paraId="3E3D88E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468</w:t>
            </w:r>
          </w:p>
        </w:tc>
        <w:tc>
          <w:tcPr>
            <w:tcW w:w="1343" w:type="dxa"/>
            <w:tcBorders>
              <w:top w:val="single" w:sz="6" w:space="0" w:color="auto"/>
              <w:left w:val="single" w:sz="6" w:space="0" w:color="auto"/>
              <w:bottom w:val="single" w:sz="6" w:space="0" w:color="auto"/>
              <w:right w:val="single" w:sz="6" w:space="0" w:color="auto"/>
            </w:tcBorders>
          </w:tcPr>
          <w:p w14:paraId="59BB009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w:t>
            </w:r>
          </w:p>
        </w:tc>
        <w:tc>
          <w:tcPr>
            <w:tcW w:w="1344" w:type="dxa"/>
            <w:tcBorders>
              <w:top w:val="single" w:sz="6" w:space="0" w:color="auto"/>
              <w:left w:val="single" w:sz="6" w:space="0" w:color="auto"/>
              <w:bottom w:val="single" w:sz="6" w:space="0" w:color="auto"/>
              <w:right w:val="single" w:sz="6" w:space="0" w:color="auto"/>
            </w:tcBorders>
          </w:tcPr>
          <w:p w14:paraId="7613149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5,829</w:t>
            </w:r>
          </w:p>
        </w:tc>
      </w:tr>
      <w:tr w:rsidR="007A7E45" w:rsidRPr="00392E0D" w14:paraId="5D086504"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7CAFE80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0366319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5,073</w:t>
            </w:r>
          </w:p>
        </w:tc>
        <w:tc>
          <w:tcPr>
            <w:tcW w:w="1343" w:type="dxa"/>
            <w:tcBorders>
              <w:top w:val="single" w:sz="6" w:space="0" w:color="auto"/>
              <w:left w:val="single" w:sz="6" w:space="0" w:color="auto"/>
              <w:bottom w:val="single" w:sz="6" w:space="0" w:color="auto"/>
              <w:right w:val="single" w:sz="6" w:space="0" w:color="auto"/>
            </w:tcBorders>
          </w:tcPr>
          <w:p w14:paraId="0288181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82.4</w:t>
            </w:r>
          </w:p>
        </w:tc>
        <w:tc>
          <w:tcPr>
            <w:tcW w:w="1344" w:type="dxa"/>
            <w:tcBorders>
              <w:top w:val="single" w:sz="6" w:space="0" w:color="auto"/>
              <w:left w:val="single" w:sz="6" w:space="0" w:color="auto"/>
              <w:bottom w:val="single" w:sz="6" w:space="0" w:color="auto"/>
              <w:right w:val="single" w:sz="6" w:space="0" w:color="auto"/>
            </w:tcBorders>
          </w:tcPr>
          <w:p w14:paraId="3A10D55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621</w:t>
            </w:r>
          </w:p>
        </w:tc>
        <w:tc>
          <w:tcPr>
            <w:tcW w:w="1343" w:type="dxa"/>
            <w:tcBorders>
              <w:top w:val="single" w:sz="6" w:space="0" w:color="auto"/>
              <w:left w:val="single" w:sz="6" w:space="0" w:color="auto"/>
              <w:bottom w:val="single" w:sz="6" w:space="0" w:color="auto"/>
              <w:right w:val="single" w:sz="6" w:space="0" w:color="auto"/>
            </w:tcBorders>
          </w:tcPr>
          <w:p w14:paraId="32D634A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344" w:type="dxa"/>
            <w:tcBorders>
              <w:top w:val="single" w:sz="6" w:space="0" w:color="auto"/>
              <w:left w:val="single" w:sz="6" w:space="0" w:color="auto"/>
              <w:bottom w:val="single" w:sz="6" w:space="0" w:color="auto"/>
              <w:right w:val="single" w:sz="6" w:space="0" w:color="auto"/>
            </w:tcBorders>
          </w:tcPr>
          <w:p w14:paraId="5EAF537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465</w:t>
            </w:r>
          </w:p>
        </w:tc>
        <w:tc>
          <w:tcPr>
            <w:tcW w:w="1343" w:type="dxa"/>
            <w:tcBorders>
              <w:top w:val="single" w:sz="6" w:space="0" w:color="auto"/>
              <w:left w:val="single" w:sz="6" w:space="0" w:color="auto"/>
              <w:bottom w:val="single" w:sz="6" w:space="0" w:color="auto"/>
              <w:right w:val="single" w:sz="6" w:space="0" w:color="auto"/>
            </w:tcBorders>
          </w:tcPr>
          <w:p w14:paraId="07220A2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w:t>
            </w:r>
          </w:p>
        </w:tc>
        <w:tc>
          <w:tcPr>
            <w:tcW w:w="1344" w:type="dxa"/>
            <w:tcBorders>
              <w:top w:val="single" w:sz="6" w:space="0" w:color="auto"/>
              <w:left w:val="single" w:sz="6" w:space="0" w:color="auto"/>
              <w:bottom w:val="single" w:sz="6" w:space="0" w:color="auto"/>
              <w:right w:val="single" w:sz="6" w:space="0" w:color="auto"/>
            </w:tcBorders>
          </w:tcPr>
          <w:p w14:paraId="3FEC085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6,159</w:t>
            </w:r>
          </w:p>
        </w:tc>
      </w:tr>
      <w:tr w:rsidR="007A7E45" w:rsidRPr="00392E0D" w14:paraId="0EEA7D75"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261836E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09FE02D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4,966</w:t>
            </w:r>
          </w:p>
        </w:tc>
        <w:tc>
          <w:tcPr>
            <w:tcW w:w="1343" w:type="dxa"/>
            <w:tcBorders>
              <w:top w:val="single" w:sz="6" w:space="0" w:color="auto"/>
              <w:left w:val="single" w:sz="6" w:space="0" w:color="auto"/>
              <w:bottom w:val="single" w:sz="6" w:space="0" w:color="auto"/>
              <w:right w:val="single" w:sz="6" w:space="0" w:color="auto"/>
            </w:tcBorders>
          </w:tcPr>
          <w:p w14:paraId="70BFFFA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80.5</w:t>
            </w:r>
          </w:p>
        </w:tc>
        <w:tc>
          <w:tcPr>
            <w:tcW w:w="1344" w:type="dxa"/>
            <w:tcBorders>
              <w:top w:val="single" w:sz="6" w:space="0" w:color="auto"/>
              <w:left w:val="single" w:sz="6" w:space="0" w:color="auto"/>
              <w:bottom w:val="single" w:sz="6" w:space="0" w:color="auto"/>
              <w:right w:val="single" w:sz="6" w:space="0" w:color="auto"/>
            </w:tcBorders>
          </w:tcPr>
          <w:p w14:paraId="10BF3B5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761</w:t>
            </w:r>
          </w:p>
        </w:tc>
        <w:tc>
          <w:tcPr>
            <w:tcW w:w="1343" w:type="dxa"/>
            <w:tcBorders>
              <w:top w:val="single" w:sz="6" w:space="0" w:color="auto"/>
              <w:left w:val="single" w:sz="6" w:space="0" w:color="auto"/>
              <w:bottom w:val="single" w:sz="6" w:space="0" w:color="auto"/>
              <w:right w:val="single" w:sz="6" w:space="0" w:color="auto"/>
            </w:tcBorders>
          </w:tcPr>
          <w:p w14:paraId="1354C07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12.3</w:t>
            </w:r>
          </w:p>
        </w:tc>
        <w:tc>
          <w:tcPr>
            <w:tcW w:w="1344" w:type="dxa"/>
            <w:tcBorders>
              <w:top w:val="single" w:sz="6" w:space="0" w:color="auto"/>
              <w:left w:val="single" w:sz="6" w:space="0" w:color="auto"/>
              <w:bottom w:val="single" w:sz="6" w:space="0" w:color="auto"/>
              <w:right w:val="single" w:sz="6" w:space="0" w:color="auto"/>
            </w:tcBorders>
          </w:tcPr>
          <w:p w14:paraId="3567733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439</w:t>
            </w:r>
          </w:p>
        </w:tc>
        <w:tc>
          <w:tcPr>
            <w:tcW w:w="1343" w:type="dxa"/>
            <w:tcBorders>
              <w:top w:val="single" w:sz="6" w:space="0" w:color="auto"/>
              <w:left w:val="single" w:sz="6" w:space="0" w:color="auto"/>
              <w:bottom w:val="single" w:sz="6" w:space="0" w:color="auto"/>
              <w:right w:val="single" w:sz="6" w:space="0" w:color="auto"/>
            </w:tcBorders>
          </w:tcPr>
          <w:p w14:paraId="5CBCA9E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w:t>
            </w:r>
          </w:p>
        </w:tc>
        <w:tc>
          <w:tcPr>
            <w:tcW w:w="1344" w:type="dxa"/>
            <w:tcBorders>
              <w:top w:val="single" w:sz="6" w:space="0" w:color="auto"/>
              <w:left w:val="single" w:sz="6" w:space="0" w:color="auto"/>
              <w:bottom w:val="single" w:sz="6" w:space="0" w:color="auto"/>
              <w:right w:val="single" w:sz="6" w:space="0" w:color="auto"/>
            </w:tcBorders>
          </w:tcPr>
          <w:p w14:paraId="4CCDD17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6,166</w:t>
            </w:r>
          </w:p>
        </w:tc>
      </w:tr>
      <w:tr w:rsidR="007A7E45" w:rsidRPr="00392E0D" w14:paraId="45C2CF80"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54DBAB3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0A43982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4,598</w:t>
            </w:r>
          </w:p>
        </w:tc>
        <w:tc>
          <w:tcPr>
            <w:tcW w:w="1343" w:type="dxa"/>
            <w:tcBorders>
              <w:top w:val="single" w:sz="6" w:space="0" w:color="auto"/>
              <w:left w:val="single" w:sz="6" w:space="0" w:color="auto"/>
              <w:bottom w:val="single" w:sz="6" w:space="0" w:color="auto"/>
              <w:right w:val="single" w:sz="6" w:space="0" w:color="auto"/>
            </w:tcBorders>
          </w:tcPr>
          <w:p w14:paraId="5E2FB9D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80.6</w:t>
            </w:r>
          </w:p>
        </w:tc>
        <w:tc>
          <w:tcPr>
            <w:tcW w:w="1344" w:type="dxa"/>
            <w:tcBorders>
              <w:top w:val="single" w:sz="6" w:space="0" w:color="auto"/>
              <w:left w:val="single" w:sz="6" w:space="0" w:color="auto"/>
              <w:bottom w:val="single" w:sz="6" w:space="0" w:color="auto"/>
              <w:right w:val="single" w:sz="6" w:space="0" w:color="auto"/>
            </w:tcBorders>
          </w:tcPr>
          <w:p w14:paraId="67FA8D5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664</w:t>
            </w:r>
          </w:p>
        </w:tc>
        <w:tc>
          <w:tcPr>
            <w:tcW w:w="1343" w:type="dxa"/>
            <w:tcBorders>
              <w:top w:val="single" w:sz="6" w:space="0" w:color="auto"/>
              <w:left w:val="single" w:sz="6" w:space="0" w:color="auto"/>
              <w:bottom w:val="single" w:sz="6" w:space="0" w:color="auto"/>
              <w:right w:val="single" w:sz="6" w:space="0" w:color="auto"/>
            </w:tcBorders>
          </w:tcPr>
          <w:p w14:paraId="120CD03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11.6</w:t>
            </w:r>
          </w:p>
        </w:tc>
        <w:tc>
          <w:tcPr>
            <w:tcW w:w="1344" w:type="dxa"/>
            <w:tcBorders>
              <w:top w:val="single" w:sz="6" w:space="0" w:color="auto"/>
              <w:left w:val="single" w:sz="6" w:space="0" w:color="auto"/>
              <w:bottom w:val="single" w:sz="6" w:space="0" w:color="auto"/>
              <w:right w:val="single" w:sz="6" w:space="0" w:color="auto"/>
            </w:tcBorders>
          </w:tcPr>
          <w:p w14:paraId="109DB69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442</w:t>
            </w:r>
          </w:p>
        </w:tc>
        <w:tc>
          <w:tcPr>
            <w:tcW w:w="1343" w:type="dxa"/>
            <w:tcBorders>
              <w:top w:val="single" w:sz="6" w:space="0" w:color="auto"/>
              <w:left w:val="single" w:sz="6" w:space="0" w:color="auto"/>
              <w:bottom w:val="single" w:sz="6" w:space="0" w:color="auto"/>
              <w:right w:val="single" w:sz="6" w:space="0" w:color="auto"/>
            </w:tcBorders>
          </w:tcPr>
          <w:p w14:paraId="0D73619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w:t>
            </w:r>
          </w:p>
        </w:tc>
        <w:tc>
          <w:tcPr>
            <w:tcW w:w="1344" w:type="dxa"/>
            <w:tcBorders>
              <w:top w:val="single" w:sz="6" w:space="0" w:color="auto"/>
              <w:left w:val="single" w:sz="6" w:space="0" w:color="auto"/>
              <w:bottom w:val="single" w:sz="6" w:space="0" w:color="auto"/>
              <w:right w:val="single" w:sz="6" w:space="0" w:color="auto"/>
            </w:tcBorders>
          </w:tcPr>
          <w:p w14:paraId="1E733B9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5,704</w:t>
            </w:r>
          </w:p>
        </w:tc>
      </w:tr>
    </w:tbl>
    <w:p w14:paraId="44A516DE" w14:textId="19A8E390" w:rsidR="007A7E45" w:rsidRPr="00392E0D" w:rsidRDefault="007A7E45" w:rsidP="007A7E45">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95</w:t>
      </w:r>
      <w:r w:rsidRPr="00392E0D">
        <w:rPr>
          <w:rFonts w:cs="Arial"/>
        </w:rPr>
        <w:fldChar w:fldCharType="end"/>
      </w:r>
      <w:r w:rsidRPr="00392E0D">
        <w:rPr>
          <w:rFonts w:cs="Arial"/>
        </w:rPr>
        <w:tab/>
      </w:r>
      <w:r w:rsidRPr="00392E0D">
        <w:rPr>
          <w:rFonts w:eastAsiaTheme="minorHAnsi" w:cs="Arial"/>
        </w:rPr>
        <w:t>Tasmania trends (2009 – 2021) – Communication skills and general knowledge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A7E45" w:rsidRPr="00392E0D" w14:paraId="79469D2F"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1183BE7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062DCFCB" w14:textId="67CC0018"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268950F3" w14:textId="7E7E0F3C"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7CF34893" w14:textId="493819D5"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1C34287D" w14:textId="2E98C233"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18020B45" w14:textId="128E57D2"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217710F6" w14:textId="1C77DDA4" w:rsidR="007A7E45" w:rsidRPr="00392E0D" w:rsidRDefault="00ED246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A7E45"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6FD27E5D" w14:textId="142EC943" w:rsidR="007A7E45" w:rsidRPr="00392E0D" w:rsidRDefault="009B7612"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A7E45" w:rsidRPr="00392E0D" w14:paraId="7430CBC6"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2509076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666D4FC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4,436</w:t>
            </w:r>
          </w:p>
        </w:tc>
        <w:tc>
          <w:tcPr>
            <w:tcW w:w="1343" w:type="dxa"/>
            <w:tcBorders>
              <w:top w:val="single" w:sz="6" w:space="0" w:color="auto"/>
              <w:left w:val="single" w:sz="6" w:space="0" w:color="auto"/>
              <w:bottom w:val="single" w:sz="6" w:space="0" w:color="auto"/>
              <w:right w:val="single" w:sz="6" w:space="0" w:color="auto"/>
            </w:tcBorders>
          </w:tcPr>
          <w:p w14:paraId="0A9A9E4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79.3</w:t>
            </w:r>
          </w:p>
        </w:tc>
        <w:tc>
          <w:tcPr>
            <w:tcW w:w="1344" w:type="dxa"/>
            <w:tcBorders>
              <w:top w:val="single" w:sz="6" w:space="0" w:color="auto"/>
              <w:left w:val="single" w:sz="6" w:space="0" w:color="auto"/>
              <w:bottom w:val="single" w:sz="6" w:space="0" w:color="auto"/>
              <w:right w:val="single" w:sz="6" w:space="0" w:color="auto"/>
            </w:tcBorders>
          </w:tcPr>
          <w:p w14:paraId="68B7A00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788</w:t>
            </w:r>
          </w:p>
        </w:tc>
        <w:tc>
          <w:tcPr>
            <w:tcW w:w="1343" w:type="dxa"/>
            <w:tcBorders>
              <w:top w:val="single" w:sz="6" w:space="0" w:color="auto"/>
              <w:left w:val="single" w:sz="6" w:space="0" w:color="auto"/>
              <w:bottom w:val="single" w:sz="6" w:space="0" w:color="auto"/>
              <w:right w:val="single" w:sz="6" w:space="0" w:color="auto"/>
            </w:tcBorders>
          </w:tcPr>
          <w:p w14:paraId="67820A6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14.1</w:t>
            </w:r>
          </w:p>
        </w:tc>
        <w:tc>
          <w:tcPr>
            <w:tcW w:w="1344" w:type="dxa"/>
            <w:tcBorders>
              <w:top w:val="single" w:sz="6" w:space="0" w:color="auto"/>
              <w:left w:val="single" w:sz="6" w:space="0" w:color="auto"/>
              <w:bottom w:val="single" w:sz="6" w:space="0" w:color="auto"/>
              <w:right w:val="single" w:sz="6" w:space="0" w:color="auto"/>
            </w:tcBorders>
          </w:tcPr>
          <w:p w14:paraId="02D5C23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370</w:t>
            </w:r>
          </w:p>
        </w:tc>
        <w:tc>
          <w:tcPr>
            <w:tcW w:w="1343" w:type="dxa"/>
            <w:tcBorders>
              <w:top w:val="single" w:sz="6" w:space="0" w:color="auto"/>
              <w:left w:val="single" w:sz="6" w:space="0" w:color="auto"/>
              <w:bottom w:val="single" w:sz="6" w:space="0" w:color="auto"/>
              <w:right w:val="single" w:sz="6" w:space="0" w:color="auto"/>
            </w:tcBorders>
          </w:tcPr>
          <w:p w14:paraId="5D87DB84"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w:t>
            </w:r>
          </w:p>
        </w:tc>
        <w:tc>
          <w:tcPr>
            <w:tcW w:w="1344" w:type="dxa"/>
            <w:tcBorders>
              <w:top w:val="single" w:sz="6" w:space="0" w:color="auto"/>
              <w:left w:val="single" w:sz="6" w:space="0" w:color="auto"/>
              <w:bottom w:val="single" w:sz="6" w:space="0" w:color="auto"/>
              <w:right w:val="single" w:sz="6" w:space="0" w:color="auto"/>
            </w:tcBorders>
          </w:tcPr>
          <w:p w14:paraId="3FFD519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5,594</w:t>
            </w:r>
          </w:p>
        </w:tc>
      </w:tr>
      <w:tr w:rsidR="007A7E45" w:rsidRPr="00392E0D" w14:paraId="25136E12"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0F065FAC"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0290FCF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4,727</w:t>
            </w:r>
          </w:p>
        </w:tc>
        <w:tc>
          <w:tcPr>
            <w:tcW w:w="1343" w:type="dxa"/>
            <w:tcBorders>
              <w:top w:val="single" w:sz="6" w:space="0" w:color="auto"/>
              <w:left w:val="single" w:sz="6" w:space="0" w:color="auto"/>
              <w:bottom w:val="single" w:sz="6" w:space="0" w:color="auto"/>
              <w:right w:val="single" w:sz="6" w:space="0" w:color="auto"/>
            </w:tcBorders>
          </w:tcPr>
          <w:p w14:paraId="0F453B0B"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80.9</w:t>
            </w:r>
          </w:p>
        </w:tc>
        <w:tc>
          <w:tcPr>
            <w:tcW w:w="1344" w:type="dxa"/>
            <w:tcBorders>
              <w:top w:val="single" w:sz="6" w:space="0" w:color="auto"/>
              <w:left w:val="single" w:sz="6" w:space="0" w:color="auto"/>
              <w:bottom w:val="single" w:sz="6" w:space="0" w:color="auto"/>
              <w:right w:val="single" w:sz="6" w:space="0" w:color="auto"/>
            </w:tcBorders>
          </w:tcPr>
          <w:p w14:paraId="6DF6C80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785</w:t>
            </w:r>
          </w:p>
        </w:tc>
        <w:tc>
          <w:tcPr>
            <w:tcW w:w="1343" w:type="dxa"/>
            <w:tcBorders>
              <w:top w:val="single" w:sz="6" w:space="0" w:color="auto"/>
              <w:left w:val="single" w:sz="6" w:space="0" w:color="auto"/>
              <w:bottom w:val="single" w:sz="6" w:space="0" w:color="auto"/>
              <w:right w:val="single" w:sz="6" w:space="0" w:color="auto"/>
            </w:tcBorders>
          </w:tcPr>
          <w:p w14:paraId="2F647369"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w:t>
            </w:r>
          </w:p>
        </w:tc>
        <w:tc>
          <w:tcPr>
            <w:tcW w:w="1344" w:type="dxa"/>
            <w:tcBorders>
              <w:top w:val="single" w:sz="6" w:space="0" w:color="auto"/>
              <w:left w:val="single" w:sz="6" w:space="0" w:color="auto"/>
              <w:bottom w:val="single" w:sz="6" w:space="0" w:color="auto"/>
              <w:right w:val="single" w:sz="6" w:space="0" w:color="auto"/>
            </w:tcBorders>
          </w:tcPr>
          <w:p w14:paraId="3BAC45E8"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334</w:t>
            </w:r>
          </w:p>
        </w:tc>
        <w:tc>
          <w:tcPr>
            <w:tcW w:w="1343" w:type="dxa"/>
            <w:tcBorders>
              <w:top w:val="single" w:sz="6" w:space="0" w:color="auto"/>
              <w:left w:val="single" w:sz="6" w:space="0" w:color="auto"/>
              <w:bottom w:val="single" w:sz="6" w:space="0" w:color="auto"/>
              <w:right w:val="single" w:sz="6" w:space="0" w:color="auto"/>
            </w:tcBorders>
          </w:tcPr>
          <w:p w14:paraId="5B02A90D"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w:t>
            </w:r>
          </w:p>
        </w:tc>
        <w:tc>
          <w:tcPr>
            <w:tcW w:w="1344" w:type="dxa"/>
            <w:tcBorders>
              <w:top w:val="single" w:sz="6" w:space="0" w:color="auto"/>
              <w:left w:val="single" w:sz="6" w:space="0" w:color="auto"/>
              <w:bottom w:val="single" w:sz="6" w:space="0" w:color="auto"/>
              <w:right w:val="single" w:sz="6" w:space="0" w:color="auto"/>
            </w:tcBorders>
          </w:tcPr>
          <w:p w14:paraId="101C346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5,846</w:t>
            </w:r>
          </w:p>
        </w:tc>
      </w:tr>
      <w:tr w:rsidR="007A7E45" w:rsidRPr="00392E0D" w14:paraId="63D455A4"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75727EC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44769B1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4,913</w:t>
            </w:r>
          </w:p>
        </w:tc>
        <w:tc>
          <w:tcPr>
            <w:tcW w:w="1343" w:type="dxa"/>
            <w:tcBorders>
              <w:top w:val="single" w:sz="6" w:space="0" w:color="auto"/>
              <w:left w:val="single" w:sz="6" w:space="0" w:color="auto"/>
              <w:bottom w:val="single" w:sz="6" w:space="0" w:color="auto"/>
              <w:right w:val="single" w:sz="6" w:space="0" w:color="auto"/>
            </w:tcBorders>
          </w:tcPr>
          <w:p w14:paraId="1529AD6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79.8</w:t>
            </w:r>
          </w:p>
        </w:tc>
        <w:tc>
          <w:tcPr>
            <w:tcW w:w="1344" w:type="dxa"/>
            <w:tcBorders>
              <w:top w:val="single" w:sz="6" w:space="0" w:color="auto"/>
              <w:left w:val="single" w:sz="6" w:space="0" w:color="auto"/>
              <w:bottom w:val="single" w:sz="6" w:space="0" w:color="auto"/>
              <w:right w:val="single" w:sz="6" w:space="0" w:color="auto"/>
            </w:tcBorders>
          </w:tcPr>
          <w:p w14:paraId="7AEF458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852</w:t>
            </w:r>
          </w:p>
        </w:tc>
        <w:tc>
          <w:tcPr>
            <w:tcW w:w="1343" w:type="dxa"/>
            <w:tcBorders>
              <w:top w:val="single" w:sz="6" w:space="0" w:color="auto"/>
              <w:left w:val="single" w:sz="6" w:space="0" w:color="auto"/>
              <w:bottom w:val="single" w:sz="6" w:space="0" w:color="auto"/>
              <w:right w:val="single" w:sz="6" w:space="0" w:color="auto"/>
            </w:tcBorders>
          </w:tcPr>
          <w:p w14:paraId="484A38F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13.8</w:t>
            </w:r>
          </w:p>
        </w:tc>
        <w:tc>
          <w:tcPr>
            <w:tcW w:w="1344" w:type="dxa"/>
            <w:tcBorders>
              <w:top w:val="single" w:sz="6" w:space="0" w:color="auto"/>
              <w:left w:val="single" w:sz="6" w:space="0" w:color="auto"/>
              <w:bottom w:val="single" w:sz="6" w:space="0" w:color="auto"/>
              <w:right w:val="single" w:sz="6" w:space="0" w:color="auto"/>
            </w:tcBorders>
          </w:tcPr>
          <w:p w14:paraId="6277F9C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394</w:t>
            </w:r>
          </w:p>
        </w:tc>
        <w:tc>
          <w:tcPr>
            <w:tcW w:w="1343" w:type="dxa"/>
            <w:tcBorders>
              <w:top w:val="single" w:sz="6" w:space="0" w:color="auto"/>
              <w:left w:val="single" w:sz="6" w:space="0" w:color="auto"/>
              <w:bottom w:val="single" w:sz="6" w:space="0" w:color="auto"/>
              <w:right w:val="single" w:sz="6" w:space="0" w:color="auto"/>
            </w:tcBorders>
          </w:tcPr>
          <w:p w14:paraId="2FB61AEA"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w:t>
            </w:r>
          </w:p>
        </w:tc>
        <w:tc>
          <w:tcPr>
            <w:tcW w:w="1344" w:type="dxa"/>
            <w:tcBorders>
              <w:top w:val="single" w:sz="6" w:space="0" w:color="auto"/>
              <w:left w:val="single" w:sz="6" w:space="0" w:color="auto"/>
              <w:bottom w:val="single" w:sz="6" w:space="0" w:color="auto"/>
              <w:right w:val="single" w:sz="6" w:space="0" w:color="auto"/>
            </w:tcBorders>
          </w:tcPr>
          <w:p w14:paraId="783351C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6,159</w:t>
            </w:r>
          </w:p>
        </w:tc>
      </w:tr>
      <w:tr w:rsidR="007A7E45" w:rsidRPr="00392E0D" w14:paraId="31B8B187"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63E67095"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1A79F59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4,757</w:t>
            </w:r>
          </w:p>
        </w:tc>
        <w:tc>
          <w:tcPr>
            <w:tcW w:w="1343" w:type="dxa"/>
            <w:tcBorders>
              <w:top w:val="single" w:sz="6" w:space="0" w:color="auto"/>
              <w:left w:val="single" w:sz="6" w:space="0" w:color="auto"/>
              <w:bottom w:val="single" w:sz="6" w:space="0" w:color="auto"/>
              <w:right w:val="single" w:sz="6" w:space="0" w:color="auto"/>
            </w:tcBorders>
          </w:tcPr>
          <w:p w14:paraId="53CEBC0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77.8</w:t>
            </w:r>
          </w:p>
        </w:tc>
        <w:tc>
          <w:tcPr>
            <w:tcW w:w="1344" w:type="dxa"/>
            <w:tcBorders>
              <w:top w:val="single" w:sz="6" w:space="0" w:color="auto"/>
              <w:left w:val="single" w:sz="6" w:space="0" w:color="auto"/>
              <w:bottom w:val="single" w:sz="6" w:space="0" w:color="auto"/>
              <w:right w:val="single" w:sz="6" w:space="0" w:color="auto"/>
            </w:tcBorders>
          </w:tcPr>
          <w:p w14:paraId="3D103827"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955</w:t>
            </w:r>
          </w:p>
        </w:tc>
        <w:tc>
          <w:tcPr>
            <w:tcW w:w="1343" w:type="dxa"/>
            <w:tcBorders>
              <w:top w:val="single" w:sz="6" w:space="0" w:color="auto"/>
              <w:left w:val="single" w:sz="6" w:space="0" w:color="auto"/>
              <w:bottom w:val="single" w:sz="6" w:space="0" w:color="auto"/>
              <w:right w:val="single" w:sz="6" w:space="0" w:color="auto"/>
            </w:tcBorders>
          </w:tcPr>
          <w:p w14:paraId="32470151"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344" w:type="dxa"/>
            <w:tcBorders>
              <w:top w:val="single" w:sz="6" w:space="0" w:color="auto"/>
              <w:left w:val="single" w:sz="6" w:space="0" w:color="auto"/>
              <w:bottom w:val="single" w:sz="6" w:space="0" w:color="auto"/>
              <w:right w:val="single" w:sz="6" w:space="0" w:color="auto"/>
            </w:tcBorders>
          </w:tcPr>
          <w:p w14:paraId="690A4F6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402</w:t>
            </w:r>
          </w:p>
        </w:tc>
        <w:tc>
          <w:tcPr>
            <w:tcW w:w="1343" w:type="dxa"/>
            <w:tcBorders>
              <w:top w:val="single" w:sz="6" w:space="0" w:color="auto"/>
              <w:left w:val="single" w:sz="6" w:space="0" w:color="auto"/>
              <w:bottom w:val="single" w:sz="6" w:space="0" w:color="auto"/>
              <w:right w:val="single" w:sz="6" w:space="0" w:color="auto"/>
            </w:tcBorders>
          </w:tcPr>
          <w:p w14:paraId="4B94E720"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w:t>
            </w:r>
          </w:p>
        </w:tc>
        <w:tc>
          <w:tcPr>
            <w:tcW w:w="1344" w:type="dxa"/>
            <w:tcBorders>
              <w:top w:val="single" w:sz="6" w:space="0" w:color="auto"/>
              <w:left w:val="single" w:sz="6" w:space="0" w:color="auto"/>
              <w:bottom w:val="single" w:sz="6" w:space="0" w:color="auto"/>
              <w:right w:val="single" w:sz="6" w:space="0" w:color="auto"/>
            </w:tcBorders>
          </w:tcPr>
          <w:p w14:paraId="2A73A61F"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6,114</w:t>
            </w:r>
          </w:p>
        </w:tc>
      </w:tr>
      <w:tr w:rsidR="007A7E45" w:rsidRPr="00392E0D" w14:paraId="10C9FB6C" w14:textId="77777777" w:rsidTr="007A7E45">
        <w:trPr>
          <w:trHeight w:val="287"/>
        </w:trPr>
        <w:tc>
          <w:tcPr>
            <w:tcW w:w="974" w:type="dxa"/>
            <w:tcBorders>
              <w:top w:val="single" w:sz="6" w:space="0" w:color="auto"/>
              <w:left w:val="single" w:sz="6" w:space="0" w:color="auto"/>
              <w:bottom w:val="single" w:sz="6" w:space="0" w:color="auto"/>
              <w:right w:val="single" w:sz="6" w:space="0" w:color="auto"/>
            </w:tcBorders>
          </w:tcPr>
          <w:p w14:paraId="157F5FB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5287908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4,339</w:t>
            </w:r>
          </w:p>
        </w:tc>
        <w:tc>
          <w:tcPr>
            <w:tcW w:w="1343" w:type="dxa"/>
            <w:tcBorders>
              <w:top w:val="single" w:sz="6" w:space="0" w:color="auto"/>
              <w:left w:val="single" w:sz="6" w:space="0" w:color="auto"/>
              <w:bottom w:val="single" w:sz="6" w:space="0" w:color="auto"/>
              <w:right w:val="single" w:sz="6" w:space="0" w:color="auto"/>
            </w:tcBorders>
          </w:tcPr>
          <w:p w14:paraId="35C0427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76.0</w:t>
            </w:r>
          </w:p>
        </w:tc>
        <w:tc>
          <w:tcPr>
            <w:tcW w:w="1344" w:type="dxa"/>
            <w:tcBorders>
              <w:top w:val="single" w:sz="6" w:space="0" w:color="auto"/>
              <w:left w:val="single" w:sz="6" w:space="0" w:color="auto"/>
              <w:bottom w:val="single" w:sz="6" w:space="0" w:color="auto"/>
              <w:right w:val="single" w:sz="6" w:space="0" w:color="auto"/>
            </w:tcBorders>
          </w:tcPr>
          <w:p w14:paraId="2BC39F2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971</w:t>
            </w:r>
          </w:p>
        </w:tc>
        <w:tc>
          <w:tcPr>
            <w:tcW w:w="1343" w:type="dxa"/>
            <w:tcBorders>
              <w:top w:val="single" w:sz="6" w:space="0" w:color="auto"/>
              <w:left w:val="single" w:sz="6" w:space="0" w:color="auto"/>
              <w:bottom w:val="single" w:sz="6" w:space="0" w:color="auto"/>
              <w:right w:val="single" w:sz="6" w:space="0" w:color="auto"/>
            </w:tcBorders>
          </w:tcPr>
          <w:p w14:paraId="0ABCC082"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17.0</w:t>
            </w:r>
          </w:p>
        </w:tc>
        <w:tc>
          <w:tcPr>
            <w:tcW w:w="1344" w:type="dxa"/>
            <w:tcBorders>
              <w:top w:val="single" w:sz="6" w:space="0" w:color="auto"/>
              <w:left w:val="single" w:sz="6" w:space="0" w:color="auto"/>
              <w:bottom w:val="single" w:sz="6" w:space="0" w:color="auto"/>
              <w:right w:val="single" w:sz="6" w:space="0" w:color="auto"/>
            </w:tcBorders>
          </w:tcPr>
          <w:p w14:paraId="0631F6F3"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397</w:t>
            </w:r>
          </w:p>
        </w:tc>
        <w:tc>
          <w:tcPr>
            <w:tcW w:w="1343" w:type="dxa"/>
            <w:tcBorders>
              <w:top w:val="single" w:sz="6" w:space="0" w:color="auto"/>
              <w:left w:val="single" w:sz="6" w:space="0" w:color="auto"/>
              <w:bottom w:val="single" w:sz="6" w:space="0" w:color="auto"/>
              <w:right w:val="single" w:sz="6" w:space="0" w:color="auto"/>
            </w:tcBorders>
          </w:tcPr>
          <w:p w14:paraId="45DB72D6"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w:t>
            </w:r>
          </w:p>
        </w:tc>
        <w:tc>
          <w:tcPr>
            <w:tcW w:w="1344" w:type="dxa"/>
            <w:tcBorders>
              <w:top w:val="single" w:sz="6" w:space="0" w:color="auto"/>
              <w:left w:val="single" w:sz="6" w:space="0" w:color="auto"/>
              <w:bottom w:val="single" w:sz="6" w:space="0" w:color="auto"/>
              <w:right w:val="single" w:sz="6" w:space="0" w:color="auto"/>
            </w:tcBorders>
          </w:tcPr>
          <w:p w14:paraId="0ED15C2E" w14:textId="77777777" w:rsidR="007A7E45" w:rsidRPr="00392E0D" w:rsidRDefault="007A7E45" w:rsidP="007A7E4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5,707</w:t>
            </w:r>
          </w:p>
        </w:tc>
      </w:tr>
    </w:tbl>
    <w:p w14:paraId="4E3CF69A" w14:textId="7F46FD75" w:rsidR="00537CE6" w:rsidRPr="00392E0D" w:rsidRDefault="00537CE6" w:rsidP="007A7E45">
      <w:pPr>
        <w:pStyle w:val="Body"/>
        <w:spacing w:before="60" w:after="60" w:line="240" w:lineRule="auto"/>
        <w:rPr>
          <w:rFonts w:cs="Arial"/>
          <w:sz w:val="20"/>
        </w:rPr>
      </w:pPr>
    </w:p>
    <w:p w14:paraId="61766AF6" w14:textId="77777777" w:rsidR="00537CE6" w:rsidRPr="00392E0D" w:rsidRDefault="00537CE6">
      <w:pPr>
        <w:widowControl/>
        <w:autoSpaceDE/>
        <w:autoSpaceDN/>
        <w:rPr>
          <w:rFonts w:ascii="Arial" w:eastAsia="Times New Roman" w:hAnsi="Arial" w:cs="Arial"/>
          <w:sz w:val="20"/>
          <w:szCs w:val="20"/>
        </w:rPr>
      </w:pPr>
      <w:r w:rsidRPr="00392E0D">
        <w:rPr>
          <w:rFonts w:ascii="Arial" w:hAnsi="Arial" w:cs="Arial"/>
          <w:sz w:val="20"/>
        </w:rPr>
        <w:br w:type="page"/>
      </w:r>
    </w:p>
    <w:p w14:paraId="14403BE8" w14:textId="2F20104D" w:rsidR="007A7E45" w:rsidRPr="00392E0D" w:rsidRDefault="00537CE6" w:rsidP="00537CE6">
      <w:pPr>
        <w:pStyle w:val="Heading2"/>
        <w:rPr>
          <w:rFonts w:cs="Arial"/>
        </w:rPr>
      </w:pPr>
      <w:r w:rsidRPr="00392E0D">
        <w:rPr>
          <w:rFonts w:cs="Arial"/>
        </w:rPr>
        <w:lastRenderedPageBreak/>
        <w:t>Northern Territory trends</w:t>
      </w:r>
    </w:p>
    <w:p w14:paraId="1A16C3AC" w14:textId="7BB36B67" w:rsidR="00537CE6"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96</w:t>
      </w:r>
      <w:r w:rsidRPr="00392E0D">
        <w:rPr>
          <w:rFonts w:cs="Arial"/>
        </w:rPr>
        <w:fldChar w:fldCharType="end"/>
      </w:r>
      <w:r w:rsidRPr="00392E0D">
        <w:rPr>
          <w:rFonts w:cs="Arial"/>
        </w:rPr>
        <w:tab/>
      </w:r>
      <w:r w:rsidR="00537CE6" w:rsidRPr="00392E0D">
        <w:rPr>
          <w:rFonts w:eastAsiaTheme="minorHAnsi" w:cs="Arial"/>
          <w:lang w:val="en-AU"/>
        </w:rPr>
        <w:t>Northern Territory trends (2009 – 2021) – Developmentally vulnerable on one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7D1CBD" w:rsidRPr="00392E0D" w14:paraId="333A2802" w14:textId="77777777" w:rsidTr="00B31A96">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04BBFEE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3B2EB165" w14:textId="64F8A17E"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0958427E" w14:textId="77C58661" w:rsidR="007D1CBD" w:rsidRPr="00392E0D" w:rsidRDefault="00513B7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19FB843D" w14:textId="2D7813C5"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141DF729"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591DAECA"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62C761F5"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1,164</w:t>
            </w:r>
          </w:p>
        </w:tc>
        <w:tc>
          <w:tcPr>
            <w:tcW w:w="974" w:type="dxa"/>
            <w:tcBorders>
              <w:top w:val="single" w:sz="6" w:space="0" w:color="auto"/>
              <w:left w:val="single" w:sz="6" w:space="0" w:color="auto"/>
              <w:bottom w:val="single" w:sz="6" w:space="0" w:color="auto"/>
              <w:right w:val="single" w:sz="6" w:space="0" w:color="auto"/>
            </w:tcBorders>
          </w:tcPr>
          <w:p w14:paraId="1605E765"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39.2</w:t>
            </w:r>
          </w:p>
        </w:tc>
        <w:tc>
          <w:tcPr>
            <w:tcW w:w="975" w:type="dxa"/>
            <w:tcBorders>
              <w:top w:val="single" w:sz="6" w:space="0" w:color="auto"/>
              <w:left w:val="single" w:sz="6" w:space="0" w:color="auto"/>
              <w:bottom w:val="single" w:sz="6" w:space="0" w:color="auto"/>
              <w:right w:val="single" w:sz="6" w:space="0" w:color="auto"/>
            </w:tcBorders>
          </w:tcPr>
          <w:p w14:paraId="7B8ADD0A"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2,973</w:t>
            </w:r>
          </w:p>
        </w:tc>
      </w:tr>
      <w:tr w:rsidR="007D1CBD" w:rsidRPr="00392E0D" w14:paraId="655D5EB3"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5C9F916C"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709AB88B"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1,141</w:t>
            </w:r>
          </w:p>
        </w:tc>
        <w:tc>
          <w:tcPr>
            <w:tcW w:w="974" w:type="dxa"/>
            <w:tcBorders>
              <w:top w:val="single" w:sz="6" w:space="0" w:color="auto"/>
              <w:left w:val="single" w:sz="6" w:space="0" w:color="auto"/>
              <w:bottom w:val="single" w:sz="6" w:space="0" w:color="auto"/>
              <w:right w:val="single" w:sz="6" w:space="0" w:color="auto"/>
            </w:tcBorders>
          </w:tcPr>
          <w:p w14:paraId="7AA6A44E"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35.8</w:t>
            </w:r>
          </w:p>
        </w:tc>
        <w:tc>
          <w:tcPr>
            <w:tcW w:w="975" w:type="dxa"/>
            <w:tcBorders>
              <w:top w:val="single" w:sz="6" w:space="0" w:color="auto"/>
              <w:left w:val="single" w:sz="6" w:space="0" w:color="auto"/>
              <w:bottom w:val="single" w:sz="6" w:space="0" w:color="auto"/>
              <w:right w:val="single" w:sz="6" w:space="0" w:color="auto"/>
            </w:tcBorders>
          </w:tcPr>
          <w:p w14:paraId="65FA2F42"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3,190</w:t>
            </w:r>
          </w:p>
        </w:tc>
      </w:tr>
      <w:tr w:rsidR="007D1CBD" w:rsidRPr="00392E0D" w14:paraId="6C053AC4"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4A06F0C4"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074F63BA"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1,207</w:t>
            </w:r>
          </w:p>
        </w:tc>
        <w:tc>
          <w:tcPr>
            <w:tcW w:w="974" w:type="dxa"/>
            <w:tcBorders>
              <w:top w:val="single" w:sz="6" w:space="0" w:color="auto"/>
              <w:left w:val="single" w:sz="6" w:space="0" w:color="auto"/>
              <w:bottom w:val="single" w:sz="6" w:space="0" w:color="auto"/>
              <w:right w:val="single" w:sz="6" w:space="0" w:color="auto"/>
            </w:tcBorders>
          </w:tcPr>
          <w:p w14:paraId="0BB185DB"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37.2</w:t>
            </w:r>
          </w:p>
        </w:tc>
        <w:tc>
          <w:tcPr>
            <w:tcW w:w="975" w:type="dxa"/>
            <w:tcBorders>
              <w:top w:val="single" w:sz="6" w:space="0" w:color="auto"/>
              <w:left w:val="single" w:sz="6" w:space="0" w:color="auto"/>
              <w:bottom w:val="single" w:sz="6" w:space="0" w:color="auto"/>
              <w:right w:val="single" w:sz="6" w:space="0" w:color="auto"/>
            </w:tcBorders>
          </w:tcPr>
          <w:p w14:paraId="3468C746"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3,248</w:t>
            </w:r>
          </w:p>
        </w:tc>
      </w:tr>
      <w:tr w:rsidR="007D1CBD" w:rsidRPr="00392E0D" w14:paraId="2569A9FE"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1FAC60B3"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3306714B"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1,106</w:t>
            </w:r>
          </w:p>
        </w:tc>
        <w:tc>
          <w:tcPr>
            <w:tcW w:w="974" w:type="dxa"/>
            <w:tcBorders>
              <w:top w:val="single" w:sz="6" w:space="0" w:color="auto"/>
              <w:left w:val="single" w:sz="6" w:space="0" w:color="auto"/>
              <w:bottom w:val="single" w:sz="6" w:space="0" w:color="auto"/>
              <w:right w:val="single" w:sz="6" w:space="0" w:color="auto"/>
            </w:tcBorders>
          </w:tcPr>
          <w:p w14:paraId="193521EA"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35.5</w:t>
            </w:r>
          </w:p>
        </w:tc>
        <w:tc>
          <w:tcPr>
            <w:tcW w:w="975" w:type="dxa"/>
            <w:tcBorders>
              <w:top w:val="single" w:sz="6" w:space="0" w:color="auto"/>
              <w:left w:val="single" w:sz="6" w:space="0" w:color="auto"/>
              <w:bottom w:val="single" w:sz="6" w:space="0" w:color="auto"/>
              <w:right w:val="single" w:sz="6" w:space="0" w:color="auto"/>
            </w:tcBorders>
          </w:tcPr>
          <w:p w14:paraId="2662D56B"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3,117</w:t>
            </w:r>
          </w:p>
        </w:tc>
      </w:tr>
      <w:tr w:rsidR="007D1CBD" w:rsidRPr="00392E0D" w14:paraId="22F08F29"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61AB364F"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004F6805"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1,109</w:t>
            </w:r>
          </w:p>
        </w:tc>
        <w:tc>
          <w:tcPr>
            <w:tcW w:w="974" w:type="dxa"/>
            <w:tcBorders>
              <w:top w:val="single" w:sz="6" w:space="0" w:color="auto"/>
              <w:left w:val="single" w:sz="6" w:space="0" w:color="auto"/>
              <w:bottom w:val="single" w:sz="6" w:space="0" w:color="auto"/>
              <w:right w:val="single" w:sz="6" w:space="0" w:color="auto"/>
            </w:tcBorders>
          </w:tcPr>
          <w:p w14:paraId="015629D7"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38.7</w:t>
            </w:r>
          </w:p>
        </w:tc>
        <w:tc>
          <w:tcPr>
            <w:tcW w:w="975" w:type="dxa"/>
            <w:tcBorders>
              <w:top w:val="single" w:sz="6" w:space="0" w:color="auto"/>
              <w:left w:val="single" w:sz="6" w:space="0" w:color="auto"/>
              <w:bottom w:val="single" w:sz="6" w:space="0" w:color="auto"/>
              <w:right w:val="single" w:sz="6" w:space="0" w:color="auto"/>
            </w:tcBorders>
          </w:tcPr>
          <w:p w14:paraId="618FBC0D"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2,865</w:t>
            </w:r>
          </w:p>
        </w:tc>
      </w:tr>
    </w:tbl>
    <w:p w14:paraId="288F6F8C" w14:textId="19D4B7A2" w:rsidR="00537CE6"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97</w:t>
      </w:r>
      <w:r w:rsidRPr="00392E0D">
        <w:rPr>
          <w:rFonts w:cs="Arial"/>
        </w:rPr>
        <w:fldChar w:fldCharType="end"/>
      </w:r>
      <w:r w:rsidRPr="00392E0D">
        <w:rPr>
          <w:rFonts w:cs="Arial"/>
        </w:rPr>
        <w:tab/>
      </w:r>
      <w:r w:rsidR="00537CE6" w:rsidRPr="00392E0D">
        <w:rPr>
          <w:rFonts w:eastAsiaTheme="minorHAnsi" w:cs="Arial"/>
          <w:lang w:val="en-AU"/>
        </w:rPr>
        <w:t>Northern Territory trends (2009 – 2021) – Developmentally vulnerable on two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7D1CBD" w:rsidRPr="00392E0D" w14:paraId="114C68C0" w14:textId="77777777" w:rsidTr="00B31A96">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2D08202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2BC76C6A" w14:textId="238718E2"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1C96E0F9" w14:textId="62E8D6D4" w:rsidR="007D1CBD" w:rsidRPr="00392E0D" w:rsidRDefault="00513B7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6341685A" w14:textId="48E62118"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189B593B"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3B5B43B3"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3740FB7A"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764</w:t>
            </w:r>
          </w:p>
        </w:tc>
        <w:tc>
          <w:tcPr>
            <w:tcW w:w="974" w:type="dxa"/>
            <w:tcBorders>
              <w:top w:val="single" w:sz="6" w:space="0" w:color="auto"/>
              <w:left w:val="single" w:sz="6" w:space="0" w:color="auto"/>
              <w:bottom w:val="single" w:sz="6" w:space="0" w:color="auto"/>
              <w:right w:val="single" w:sz="6" w:space="0" w:color="auto"/>
            </w:tcBorders>
          </w:tcPr>
          <w:p w14:paraId="52FC3BCE"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25.7</w:t>
            </w:r>
          </w:p>
        </w:tc>
        <w:tc>
          <w:tcPr>
            <w:tcW w:w="975" w:type="dxa"/>
            <w:tcBorders>
              <w:top w:val="single" w:sz="6" w:space="0" w:color="auto"/>
              <w:left w:val="single" w:sz="6" w:space="0" w:color="auto"/>
              <w:bottom w:val="single" w:sz="6" w:space="0" w:color="auto"/>
              <w:right w:val="single" w:sz="6" w:space="0" w:color="auto"/>
            </w:tcBorders>
          </w:tcPr>
          <w:p w14:paraId="318F286D"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2,975</w:t>
            </w:r>
          </w:p>
        </w:tc>
      </w:tr>
      <w:tr w:rsidR="007D1CBD" w:rsidRPr="00392E0D" w14:paraId="3656D849"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1ABAF9B0"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120992D5"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745</w:t>
            </w:r>
          </w:p>
        </w:tc>
        <w:tc>
          <w:tcPr>
            <w:tcW w:w="974" w:type="dxa"/>
            <w:tcBorders>
              <w:top w:val="single" w:sz="6" w:space="0" w:color="auto"/>
              <w:left w:val="single" w:sz="6" w:space="0" w:color="auto"/>
              <w:bottom w:val="single" w:sz="6" w:space="0" w:color="auto"/>
              <w:right w:val="single" w:sz="6" w:space="0" w:color="auto"/>
            </w:tcBorders>
          </w:tcPr>
          <w:p w14:paraId="1452AA35"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23.4</w:t>
            </w:r>
          </w:p>
        </w:tc>
        <w:tc>
          <w:tcPr>
            <w:tcW w:w="975" w:type="dxa"/>
            <w:tcBorders>
              <w:top w:val="single" w:sz="6" w:space="0" w:color="auto"/>
              <w:left w:val="single" w:sz="6" w:space="0" w:color="auto"/>
              <w:bottom w:val="single" w:sz="6" w:space="0" w:color="auto"/>
              <w:right w:val="single" w:sz="6" w:space="0" w:color="auto"/>
            </w:tcBorders>
          </w:tcPr>
          <w:p w14:paraId="425868E7"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3,184</w:t>
            </w:r>
          </w:p>
        </w:tc>
      </w:tr>
      <w:tr w:rsidR="007D1CBD" w:rsidRPr="00392E0D" w14:paraId="6908F143"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3CB445E1"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6AE9AF03"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751</w:t>
            </w:r>
          </w:p>
        </w:tc>
        <w:tc>
          <w:tcPr>
            <w:tcW w:w="974" w:type="dxa"/>
            <w:tcBorders>
              <w:top w:val="single" w:sz="6" w:space="0" w:color="auto"/>
              <w:left w:val="single" w:sz="6" w:space="0" w:color="auto"/>
              <w:bottom w:val="single" w:sz="6" w:space="0" w:color="auto"/>
              <w:right w:val="single" w:sz="6" w:space="0" w:color="auto"/>
            </w:tcBorders>
          </w:tcPr>
          <w:p w14:paraId="21EC03F9"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23.1</w:t>
            </w:r>
          </w:p>
        </w:tc>
        <w:tc>
          <w:tcPr>
            <w:tcW w:w="975" w:type="dxa"/>
            <w:tcBorders>
              <w:top w:val="single" w:sz="6" w:space="0" w:color="auto"/>
              <w:left w:val="single" w:sz="6" w:space="0" w:color="auto"/>
              <w:bottom w:val="single" w:sz="6" w:space="0" w:color="auto"/>
              <w:right w:val="single" w:sz="6" w:space="0" w:color="auto"/>
            </w:tcBorders>
          </w:tcPr>
          <w:p w14:paraId="766120ED"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3,255</w:t>
            </w:r>
          </w:p>
        </w:tc>
      </w:tr>
      <w:tr w:rsidR="007D1CBD" w:rsidRPr="00392E0D" w14:paraId="29C4E700"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171C748E"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39B01D90"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653</w:t>
            </w:r>
          </w:p>
        </w:tc>
        <w:tc>
          <w:tcPr>
            <w:tcW w:w="974" w:type="dxa"/>
            <w:tcBorders>
              <w:top w:val="single" w:sz="6" w:space="0" w:color="auto"/>
              <w:left w:val="single" w:sz="6" w:space="0" w:color="auto"/>
              <w:bottom w:val="single" w:sz="6" w:space="0" w:color="auto"/>
              <w:right w:val="single" w:sz="6" w:space="0" w:color="auto"/>
            </w:tcBorders>
          </w:tcPr>
          <w:p w14:paraId="346AFD12"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20.9</w:t>
            </w:r>
          </w:p>
        </w:tc>
        <w:tc>
          <w:tcPr>
            <w:tcW w:w="975" w:type="dxa"/>
            <w:tcBorders>
              <w:top w:val="single" w:sz="6" w:space="0" w:color="auto"/>
              <w:left w:val="single" w:sz="6" w:space="0" w:color="auto"/>
              <w:bottom w:val="single" w:sz="6" w:space="0" w:color="auto"/>
              <w:right w:val="single" w:sz="6" w:space="0" w:color="auto"/>
            </w:tcBorders>
          </w:tcPr>
          <w:p w14:paraId="077B7AA0"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3,130</w:t>
            </w:r>
          </w:p>
        </w:tc>
      </w:tr>
      <w:tr w:rsidR="007D1CBD" w:rsidRPr="00392E0D" w14:paraId="79A96E66" w14:textId="77777777" w:rsidTr="00537CE6">
        <w:trPr>
          <w:trHeight w:val="296"/>
        </w:trPr>
        <w:tc>
          <w:tcPr>
            <w:tcW w:w="974" w:type="dxa"/>
            <w:tcBorders>
              <w:top w:val="single" w:sz="6" w:space="0" w:color="auto"/>
              <w:left w:val="single" w:sz="6" w:space="0" w:color="auto"/>
              <w:bottom w:val="single" w:sz="6" w:space="0" w:color="auto"/>
              <w:right w:val="single" w:sz="6" w:space="0" w:color="auto"/>
            </w:tcBorders>
          </w:tcPr>
          <w:p w14:paraId="01DEAD51"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56ABA662"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673</w:t>
            </w:r>
          </w:p>
        </w:tc>
        <w:tc>
          <w:tcPr>
            <w:tcW w:w="974" w:type="dxa"/>
            <w:tcBorders>
              <w:top w:val="single" w:sz="6" w:space="0" w:color="auto"/>
              <w:left w:val="single" w:sz="6" w:space="0" w:color="auto"/>
              <w:bottom w:val="single" w:sz="6" w:space="0" w:color="auto"/>
              <w:right w:val="single" w:sz="6" w:space="0" w:color="auto"/>
            </w:tcBorders>
          </w:tcPr>
          <w:p w14:paraId="121AF305"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23.4</w:t>
            </w:r>
          </w:p>
        </w:tc>
        <w:tc>
          <w:tcPr>
            <w:tcW w:w="975" w:type="dxa"/>
            <w:tcBorders>
              <w:top w:val="single" w:sz="6" w:space="0" w:color="auto"/>
              <w:left w:val="single" w:sz="6" w:space="0" w:color="auto"/>
              <w:bottom w:val="single" w:sz="6" w:space="0" w:color="auto"/>
              <w:right w:val="single" w:sz="6" w:space="0" w:color="auto"/>
            </w:tcBorders>
          </w:tcPr>
          <w:p w14:paraId="2EE9C323"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2,878</w:t>
            </w:r>
          </w:p>
        </w:tc>
      </w:tr>
    </w:tbl>
    <w:p w14:paraId="1C9771D0" w14:textId="20DB7F59" w:rsidR="00537CE6"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98</w:t>
      </w:r>
      <w:r w:rsidRPr="00392E0D">
        <w:rPr>
          <w:rFonts w:cs="Arial"/>
        </w:rPr>
        <w:fldChar w:fldCharType="end"/>
      </w:r>
      <w:r w:rsidRPr="00392E0D">
        <w:rPr>
          <w:rFonts w:cs="Arial"/>
        </w:rPr>
        <w:tab/>
      </w:r>
      <w:r w:rsidR="00537CE6" w:rsidRPr="00392E0D">
        <w:rPr>
          <w:rFonts w:eastAsiaTheme="minorHAnsi" w:cs="Arial"/>
          <w:lang w:val="en-AU"/>
        </w:rPr>
        <w:t>Northern Territory trends (2009 – 2021) – Developmentally on track on five domains</w:t>
      </w:r>
    </w:p>
    <w:tbl>
      <w:tblPr>
        <w:tblW w:w="0" w:type="auto"/>
        <w:tblInd w:w="-38" w:type="dxa"/>
        <w:tblLayout w:type="fixed"/>
        <w:tblLook w:val="0000" w:firstRow="0" w:lastRow="0" w:firstColumn="0" w:lastColumn="0" w:noHBand="0" w:noVBand="0"/>
      </w:tblPr>
      <w:tblGrid>
        <w:gridCol w:w="974"/>
        <w:gridCol w:w="975"/>
        <w:gridCol w:w="974"/>
        <w:gridCol w:w="975"/>
      </w:tblGrid>
      <w:tr w:rsidR="007D1CBD" w:rsidRPr="00392E0D" w14:paraId="7EAD2F00" w14:textId="77777777" w:rsidTr="00B31A96">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0259E88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4E39EF30" w14:textId="732EACF4"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1F99D91C" w14:textId="5396845E" w:rsidR="007D1CBD" w:rsidRPr="00392E0D" w:rsidRDefault="00513B7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6C2ADB64" w14:textId="211AA962"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3C094816"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54F0FD53"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3C332967"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1,150</w:t>
            </w:r>
          </w:p>
        </w:tc>
        <w:tc>
          <w:tcPr>
            <w:tcW w:w="974" w:type="dxa"/>
            <w:tcBorders>
              <w:top w:val="single" w:sz="6" w:space="0" w:color="auto"/>
              <w:left w:val="single" w:sz="6" w:space="0" w:color="auto"/>
              <w:bottom w:val="single" w:sz="6" w:space="0" w:color="auto"/>
              <w:right w:val="single" w:sz="6" w:space="0" w:color="auto"/>
            </w:tcBorders>
          </w:tcPr>
          <w:p w14:paraId="11C81C81"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38.6</w:t>
            </w:r>
          </w:p>
        </w:tc>
        <w:tc>
          <w:tcPr>
            <w:tcW w:w="975" w:type="dxa"/>
            <w:tcBorders>
              <w:top w:val="single" w:sz="6" w:space="0" w:color="auto"/>
              <w:left w:val="single" w:sz="6" w:space="0" w:color="auto"/>
              <w:bottom w:val="single" w:sz="6" w:space="0" w:color="auto"/>
              <w:right w:val="single" w:sz="6" w:space="0" w:color="auto"/>
            </w:tcBorders>
          </w:tcPr>
          <w:p w14:paraId="44FA2A4C"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2,976</w:t>
            </w:r>
          </w:p>
        </w:tc>
      </w:tr>
      <w:tr w:rsidR="007D1CBD" w:rsidRPr="00392E0D" w14:paraId="717AA40C"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4B1F400C"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08E8E4DA"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1,349</w:t>
            </w:r>
          </w:p>
        </w:tc>
        <w:tc>
          <w:tcPr>
            <w:tcW w:w="974" w:type="dxa"/>
            <w:tcBorders>
              <w:top w:val="single" w:sz="6" w:space="0" w:color="auto"/>
              <w:left w:val="single" w:sz="6" w:space="0" w:color="auto"/>
              <w:bottom w:val="single" w:sz="6" w:space="0" w:color="auto"/>
              <w:right w:val="single" w:sz="6" w:space="0" w:color="auto"/>
            </w:tcBorders>
          </w:tcPr>
          <w:p w14:paraId="69A04686"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42.2</w:t>
            </w:r>
          </w:p>
        </w:tc>
        <w:tc>
          <w:tcPr>
            <w:tcW w:w="975" w:type="dxa"/>
            <w:tcBorders>
              <w:top w:val="single" w:sz="6" w:space="0" w:color="auto"/>
              <w:left w:val="single" w:sz="6" w:space="0" w:color="auto"/>
              <w:bottom w:val="single" w:sz="6" w:space="0" w:color="auto"/>
              <w:right w:val="single" w:sz="6" w:space="0" w:color="auto"/>
            </w:tcBorders>
          </w:tcPr>
          <w:p w14:paraId="44BE7FE3"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3,193</w:t>
            </w:r>
          </w:p>
        </w:tc>
      </w:tr>
      <w:tr w:rsidR="007D1CBD" w:rsidRPr="00392E0D" w14:paraId="3ACAFF0E"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08F44A03"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1EC80D10"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1,341</w:t>
            </w:r>
          </w:p>
        </w:tc>
        <w:tc>
          <w:tcPr>
            <w:tcW w:w="974" w:type="dxa"/>
            <w:tcBorders>
              <w:top w:val="single" w:sz="6" w:space="0" w:color="auto"/>
              <w:left w:val="single" w:sz="6" w:space="0" w:color="auto"/>
              <w:bottom w:val="single" w:sz="6" w:space="0" w:color="auto"/>
              <w:right w:val="single" w:sz="6" w:space="0" w:color="auto"/>
            </w:tcBorders>
          </w:tcPr>
          <w:p w14:paraId="7BA9EC96"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41.2</w:t>
            </w:r>
          </w:p>
        </w:tc>
        <w:tc>
          <w:tcPr>
            <w:tcW w:w="975" w:type="dxa"/>
            <w:tcBorders>
              <w:top w:val="single" w:sz="6" w:space="0" w:color="auto"/>
              <w:left w:val="single" w:sz="6" w:space="0" w:color="auto"/>
              <w:bottom w:val="single" w:sz="6" w:space="0" w:color="auto"/>
              <w:right w:val="single" w:sz="6" w:space="0" w:color="auto"/>
            </w:tcBorders>
          </w:tcPr>
          <w:p w14:paraId="40E62529"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3,256</w:t>
            </w:r>
          </w:p>
        </w:tc>
      </w:tr>
      <w:tr w:rsidR="007D1CBD" w:rsidRPr="00392E0D" w14:paraId="7A22FB70"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18A79E65"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71744827"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1,264</w:t>
            </w:r>
          </w:p>
        </w:tc>
        <w:tc>
          <w:tcPr>
            <w:tcW w:w="974" w:type="dxa"/>
            <w:tcBorders>
              <w:top w:val="single" w:sz="6" w:space="0" w:color="auto"/>
              <w:left w:val="single" w:sz="6" w:space="0" w:color="auto"/>
              <w:bottom w:val="single" w:sz="6" w:space="0" w:color="auto"/>
              <w:right w:val="single" w:sz="6" w:space="0" w:color="auto"/>
            </w:tcBorders>
          </w:tcPr>
          <w:p w14:paraId="1500FA9B"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40.4</w:t>
            </w:r>
          </w:p>
        </w:tc>
        <w:tc>
          <w:tcPr>
            <w:tcW w:w="975" w:type="dxa"/>
            <w:tcBorders>
              <w:top w:val="single" w:sz="6" w:space="0" w:color="auto"/>
              <w:left w:val="single" w:sz="6" w:space="0" w:color="auto"/>
              <w:bottom w:val="single" w:sz="6" w:space="0" w:color="auto"/>
              <w:right w:val="single" w:sz="6" w:space="0" w:color="auto"/>
            </w:tcBorders>
          </w:tcPr>
          <w:p w14:paraId="619AB84A"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3,126</w:t>
            </w:r>
          </w:p>
        </w:tc>
      </w:tr>
      <w:tr w:rsidR="007D1CBD" w:rsidRPr="00392E0D" w14:paraId="7B319502" w14:textId="77777777" w:rsidTr="00537CE6">
        <w:trPr>
          <w:trHeight w:val="287"/>
        </w:trPr>
        <w:tc>
          <w:tcPr>
            <w:tcW w:w="974" w:type="dxa"/>
            <w:tcBorders>
              <w:top w:val="single" w:sz="6" w:space="0" w:color="auto"/>
              <w:left w:val="single" w:sz="6" w:space="0" w:color="auto"/>
              <w:bottom w:val="single" w:sz="6" w:space="0" w:color="auto"/>
              <w:right w:val="single" w:sz="6" w:space="0" w:color="auto"/>
            </w:tcBorders>
          </w:tcPr>
          <w:p w14:paraId="2B15036E"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603163A8"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1,093</w:t>
            </w:r>
          </w:p>
        </w:tc>
        <w:tc>
          <w:tcPr>
            <w:tcW w:w="974" w:type="dxa"/>
            <w:tcBorders>
              <w:top w:val="single" w:sz="6" w:space="0" w:color="auto"/>
              <w:left w:val="single" w:sz="6" w:space="0" w:color="auto"/>
              <w:bottom w:val="single" w:sz="6" w:space="0" w:color="auto"/>
              <w:right w:val="single" w:sz="6" w:space="0" w:color="auto"/>
            </w:tcBorders>
          </w:tcPr>
          <w:p w14:paraId="61C915EC"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38.0</w:t>
            </w:r>
          </w:p>
        </w:tc>
        <w:tc>
          <w:tcPr>
            <w:tcW w:w="975" w:type="dxa"/>
            <w:tcBorders>
              <w:top w:val="single" w:sz="6" w:space="0" w:color="auto"/>
              <w:left w:val="single" w:sz="6" w:space="0" w:color="auto"/>
              <w:bottom w:val="single" w:sz="6" w:space="0" w:color="auto"/>
              <w:right w:val="single" w:sz="6" w:space="0" w:color="auto"/>
            </w:tcBorders>
          </w:tcPr>
          <w:p w14:paraId="7A5ADC2B" w14:textId="77777777" w:rsidR="007D1CBD" w:rsidRPr="00392E0D" w:rsidRDefault="007D1CBD"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2,874</w:t>
            </w:r>
          </w:p>
        </w:tc>
      </w:tr>
    </w:tbl>
    <w:p w14:paraId="16268D40" w14:textId="7B52C1FC" w:rsidR="00537CE6"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99</w:t>
      </w:r>
      <w:r w:rsidRPr="00392E0D">
        <w:rPr>
          <w:rFonts w:cs="Arial"/>
        </w:rPr>
        <w:fldChar w:fldCharType="end"/>
      </w:r>
      <w:r w:rsidRPr="00392E0D">
        <w:rPr>
          <w:rFonts w:cs="Arial"/>
        </w:rPr>
        <w:tab/>
      </w:r>
      <w:r w:rsidR="00537CE6" w:rsidRPr="00392E0D">
        <w:rPr>
          <w:rFonts w:eastAsiaTheme="minorHAnsi" w:cs="Arial"/>
          <w:lang w:val="en-AU"/>
        </w:rPr>
        <w:t>Northern Territory trends (2009 – 2021) – Physical health and wellbeing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537CE6" w:rsidRPr="00392E0D" w14:paraId="454996AB"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431CC8C4" w14:textId="77777777" w:rsidR="00537CE6" w:rsidRPr="00392E0D" w:rsidRDefault="00537CE6"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424EEB9B" w14:textId="5E4CFFB9"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68B1826E" w14:textId="273D6385"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7CE5B017" w14:textId="4C779271"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12A16568" w14:textId="2258E41A"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4BC14C8" w14:textId="1D47CFFE"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4E7619DE" w14:textId="78FD2731"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23CB31FE" w14:textId="4D8CFDB5" w:rsidR="00537CE6"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537CE6" w:rsidRPr="00392E0D" w14:paraId="5AC44304" w14:textId="77777777" w:rsidTr="007D1CBD">
        <w:trPr>
          <w:trHeight w:val="311"/>
        </w:trPr>
        <w:tc>
          <w:tcPr>
            <w:tcW w:w="974" w:type="dxa"/>
            <w:tcBorders>
              <w:top w:val="single" w:sz="6" w:space="0" w:color="auto"/>
              <w:left w:val="single" w:sz="6" w:space="0" w:color="auto"/>
              <w:bottom w:val="single" w:sz="6" w:space="0" w:color="auto"/>
              <w:right w:val="single" w:sz="6" w:space="0" w:color="auto"/>
            </w:tcBorders>
          </w:tcPr>
          <w:p w14:paraId="3325FD3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536FA0F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2,006</w:t>
            </w:r>
          </w:p>
        </w:tc>
        <w:tc>
          <w:tcPr>
            <w:tcW w:w="1343" w:type="dxa"/>
            <w:tcBorders>
              <w:top w:val="single" w:sz="6" w:space="0" w:color="auto"/>
              <w:left w:val="single" w:sz="6" w:space="0" w:color="auto"/>
              <w:bottom w:val="single" w:sz="6" w:space="0" w:color="auto"/>
              <w:right w:val="single" w:sz="6" w:space="0" w:color="auto"/>
            </w:tcBorders>
          </w:tcPr>
          <w:p w14:paraId="7C7FCF5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67.3</w:t>
            </w:r>
          </w:p>
        </w:tc>
        <w:tc>
          <w:tcPr>
            <w:tcW w:w="1344" w:type="dxa"/>
            <w:tcBorders>
              <w:top w:val="single" w:sz="6" w:space="0" w:color="auto"/>
              <w:left w:val="single" w:sz="6" w:space="0" w:color="auto"/>
              <w:bottom w:val="single" w:sz="6" w:space="0" w:color="auto"/>
              <w:right w:val="single" w:sz="6" w:space="0" w:color="auto"/>
            </w:tcBorders>
          </w:tcPr>
          <w:p w14:paraId="4E43319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430</w:t>
            </w:r>
          </w:p>
        </w:tc>
        <w:tc>
          <w:tcPr>
            <w:tcW w:w="1343" w:type="dxa"/>
            <w:tcBorders>
              <w:top w:val="single" w:sz="6" w:space="0" w:color="auto"/>
              <w:left w:val="single" w:sz="6" w:space="0" w:color="auto"/>
              <w:bottom w:val="single" w:sz="6" w:space="0" w:color="auto"/>
              <w:right w:val="single" w:sz="6" w:space="0" w:color="auto"/>
            </w:tcBorders>
          </w:tcPr>
          <w:p w14:paraId="02D29C8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14.4</w:t>
            </w:r>
          </w:p>
        </w:tc>
        <w:tc>
          <w:tcPr>
            <w:tcW w:w="1344" w:type="dxa"/>
            <w:tcBorders>
              <w:top w:val="single" w:sz="6" w:space="0" w:color="auto"/>
              <w:left w:val="single" w:sz="6" w:space="0" w:color="auto"/>
              <w:bottom w:val="single" w:sz="6" w:space="0" w:color="auto"/>
              <w:right w:val="single" w:sz="6" w:space="0" w:color="auto"/>
            </w:tcBorders>
          </w:tcPr>
          <w:p w14:paraId="64CB36F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544</w:t>
            </w:r>
          </w:p>
        </w:tc>
        <w:tc>
          <w:tcPr>
            <w:tcW w:w="1343" w:type="dxa"/>
            <w:tcBorders>
              <w:top w:val="single" w:sz="6" w:space="0" w:color="auto"/>
              <w:left w:val="single" w:sz="6" w:space="0" w:color="auto"/>
              <w:bottom w:val="single" w:sz="6" w:space="0" w:color="auto"/>
              <w:right w:val="single" w:sz="6" w:space="0" w:color="auto"/>
            </w:tcBorders>
          </w:tcPr>
          <w:p w14:paraId="63077DD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18.3</w:t>
            </w:r>
          </w:p>
        </w:tc>
        <w:tc>
          <w:tcPr>
            <w:tcW w:w="1344" w:type="dxa"/>
            <w:tcBorders>
              <w:top w:val="single" w:sz="6" w:space="0" w:color="auto"/>
              <w:left w:val="single" w:sz="6" w:space="0" w:color="auto"/>
              <w:bottom w:val="single" w:sz="6" w:space="0" w:color="auto"/>
              <w:right w:val="single" w:sz="6" w:space="0" w:color="auto"/>
            </w:tcBorders>
          </w:tcPr>
          <w:p w14:paraId="31746E9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2,980</w:t>
            </w:r>
          </w:p>
        </w:tc>
      </w:tr>
      <w:tr w:rsidR="00537CE6" w:rsidRPr="00392E0D" w14:paraId="38AB1638"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64BE35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185C85BA"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2,161</w:t>
            </w:r>
          </w:p>
        </w:tc>
        <w:tc>
          <w:tcPr>
            <w:tcW w:w="1343" w:type="dxa"/>
            <w:tcBorders>
              <w:top w:val="single" w:sz="6" w:space="0" w:color="auto"/>
              <w:left w:val="single" w:sz="6" w:space="0" w:color="auto"/>
              <w:bottom w:val="single" w:sz="6" w:space="0" w:color="auto"/>
              <w:right w:val="single" w:sz="6" w:space="0" w:color="auto"/>
            </w:tcBorders>
          </w:tcPr>
          <w:p w14:paraId="3082E83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67.7</w:t>
            </w:r>
          </w:p>
        </w:tc>
        <w:tc>
          <w:tcPr>
            <w:tcW w:w="1344" w:type="dxa"/>
            <w:tcBorders>
              <w:top w:val="single" w:sz="6" w:space="0" w:color="auto"/>
              <w:left w:val="single" w:sz="6" w:space="0" w:color="auto"/>
              <w:bottom w:val="single" w:sz="6" w:space="0" w:color="auto"/>
              <w:right w:val="single" w:sz="6" w:space="0" w:color="auto"/>
            </w:tcBorders>
          </w:tcPr>
          <w:p w14:paraId="29146ACA"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469</w:t>
            </w:r>
          </w:p>
        </w:tc>
        <w:tc>
          <w:tcPr>
            <w:tcW w:w="1343" w:type="dxa"/>
            <w:tcBorders>
              <w:top w:val="single" w:sz="6" w:space="0" w:color="auto"/>
              <w:left w:val="single" w:sz="6" w:space="0" w:color="auto"/>
              <w:bottom w:val="single" w:sz="6" w:space="0" w:color="auto"/>
              <w:right w:val="single" w:sz="6" w:space="0" w:color="auto"/>
            </w:tcBorders>
          </w:tcPr>
          <w:p w14:paraId="0F51A02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14.7</w:t>
            </w:r>
          </w:p>
        </w:tc>
        <w:tc>
          <w:tcPr>
            <w:tcW w:w="1344" w:type="dxa"/>
            <w:tcBorders>
              <w:top w:val="single" w:sz="6" w:space="0" w:color="auto"/>
              <w:left w:val="single" w:sz="6" w:space="0" w:color="auto"/>
              <w:bottom w:val="single" w:sz="6" w:space="0" w:color="auto"/>
              <w:right w:val="single" w:sz="6" w:space="0" w:color="auto"/>
            </w:tcBorders>
          </w:tcPr>
          <w:p w14:paraId="497A9B3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563</w:t>
            </w:r>
          </w:p>
        </w:tc>
        <w:tc>
          <w:tcPr>
            <w:tcW w:w="1343" w:type="dxa"/>
            <w:tcBorders>
              <w:top w:val="single" w:sz="6" w:space="0" w:color="auto"/>
              <w:left w:val="single" w:sz="6" w:space="0" w:color="auto"/>
              <w:bottom w:val="single" w:sz="6" w:space="0" w:color="auto"/>
              <w:right w:val="single" w:sz="6" w:space="0" w:color="auto"/>
            </w:tcBorders>
          </w:tcPr>
          <w:p w14:paraId="7FA06D2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17.6</w:t>
            </w:r>
          </w:p>
        </w:tc>
        <w:tc>
          <w:tcPr>
            <w:tcW w:w="1344" w:type="dxa"/>
            <w:tcBorders>
              <w:top w:val="single" w:sz="6" w:space="0" w:color="auto"/>
              <w:left w:val="single" w:sz="6" w:space="0" w:color="auto"/>
              <w:bottom w:val="single" w:sz="6" w:space="0" w:color="auto"/>
              <w:right w:val="single" w:sz="6" w:space="0" w:color="auto"/>
            </w:tcBorders>
          </w:tcPr>
          <w:p w14:paraId="488886E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3,193</w:t>
            </w:r>
          </w:p>
        </w:tc>
      </w:tr>
      <w:tr w:rsidR="00537CE6" w:rsidRPr="00392E0D" w14:paraId="1A8B10D5"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68029D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4DD1686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2,249</w:t>
            </w:r>
          </w:p>
        </w:tc>
        <w:tc>
          <w:tcPr>
            <w:tcW w:w="1343" w:type="dxa"/>
            <w:tcBorders>
              <w:top w:val="single" w:sz="6" w:space="0" w:color="auto"/>
              <w:left w:val="single" w:sz="6" w:space="0" w:color="auto"/>
              <w:bottom w:val="single" w:sz="6" w:space="0" w:color="auto"/>
              <w:right w:val="single" w:sz="6" w:space="0" w:color="auto"/>
            </w:tcBorders>
          </w:tcPr>
          <w:p w14:paraId="75A0299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68.9</w:t>
            </w:r>
          </w:p>
        </w:tc>
        <w:tc>
          <w:tcPr>
            <w:tcW w:w="1344" w:type="dxa"/>
            <w:tcBorders>
              <w:top w:val="single" w:sz="6" w:space="0" w:color="auto"/>
              <w:left w:val="single" w:sz="6" w:space="0" w:color="auto"/>
              <w:bottom w:val="single" w:sz="6" w:space="0" w:color="auto"/>
              <w:right w:val="single" w:sz="6" w:space="0" w:color="auto"/>
            </w:tcBorders>
          </w:tcPr>
          <w:p w14:paraId="1C675ED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496</w:t>
            </w:r>
          </w:p>
        </w:tc>
        <w:tc>
          <w:tcPr>
            <w:tcW w:w="1343" w:type="dxa"/>
            <w:tcBorders>
              <w:top w:val="single" w:sz="6" w:space="0" w:color="auto"/>
              <w:left w:val="single" w:sz="6" w:space="0" w:color="auto"/>
              <w:bottom w:val="single" w:sz="6" w:space="0" w:color="auto"/>
              <w:right w:val="single" w:sz="6" w:space="0" w:color="auto"/>
            </w:tcBorders>
          </w:tcPr>
          <w:p w14:paraId="44AE3CB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15.2</w:t>
            </w:r>
          </w:p>
        </w:tc>
        <w:tc>
          <w:tcPr>
            <w:tcW w:w="1344" w:type="dxa"/>
            <w:tcBorders>
              <w:top w:val="single" w:sz="6" w:space="0" w:color="auto"/>
              <w:left w:val="single" w:sz="6" w:space="0" w:color="auto"/>
              <w:bottom w:val="single" w:sz="6" w:space="0" w:color="auto"/>
              <w:right w:val="single" w:sz="6" w:space="0" w:color="auto"/>
            </w:tcBorders>
          </w:tcPr>
          <w:p w14:paraId="6B5D084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518</w:t>
            </w:r>
          </w:p>
        </w:tc>
        <w:tc>
          <w:tcPr>
            <w:tcW w:w="1343" w:type="dxa"/>
            <w:tcBorders>
              <w:top w:val="single" w:sz="6" w:space="0" w:color="auto"/>
              <w:left w:val="single" w:sz="6" w:space="0" w:color="auto"/>
              <w:bottom w:val="single" w:sz="6" w:space="0" w:color="auto"/>
              <w:right w:val="single" w:sz="6" w:space="0" w:color="auto"/>
            </w:tcBorders>
          </w:tcPr>
          <w:p w14:paraId="6B149CE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15.9</w:t>
            </w:r>
          </w:p>
        </w:tc>
        <w:tc>
          <w:tcPr>
            <w:tcW w:w="1344" w:type="dxa"/>
            <w:tcBorders>
              <w:top w:val="single" w:sz="6" w:space="0" w:color="auto"/>
              <w:left w:val="single" w:sz="6" w:space="0" w:color="auto"/>
              <w:bottom w:val="single" w:sz="6" w:space="0" w:color="auto"/>
              <w:right w:val="single" w:sz="6" w:space="0" w:color="auto"/>
            </w:tcBorders>
          </w:tcPr>
          <w:p w14:paraId="10D3706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3,263</w:t>
            </w:r>
          </w:p>
        </w:tc>
      </w:tr>
      <w:tr w:rsidR="00537CE6" w:rsidRPr="00392E0D" w14:paraId="18748F2F"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64117BD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0DC7E2D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2,258</w:t>
            </w:r>
          </w:p>
        </w:tc>
        <w:tc>
          <w:tcPr>
            <w:tcW w:w="1343" w:type="dxa"/>
            <w:tcBorders>
              <w:top w:val="single" w:sz="6" w:space="0" w:color="auto"/>
              <w:left w:val="single" w:sz="6" w:space="0" w:color="auto"/>
              <w:bottom w:val="single" w:sz="6" w:space="0" w:color="auto"/>
              <w:right w:val="single" w:sz="6" w:space="0" w:color="auto"/>
            </w:tcBorders>
          </w:tcPr>
          <w:p w14:paraId="4856D4E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71.8</w:t>
            </w:r>
          </w:p>
        </w:tc>
        <w:tc>
          <w:tcPr>
            <w:tcW w:w="1344" w:type="dxa"/>
            <w:tcBorders>
              <w:top w:val="single" w:sz="6" w:space="0" w:color="auto"/>
              <w:left w:val="single" w:sz="6" w:space="0" w:color="auto"/>
              <w:bottom w:val="single" w:sz="6" w:space="0" w:color="auto"/>
              <w:right w:val="single" w:sz="6" w:space="0" w:color="auto"/>
            </w:tcBorders>
          </w:tcPr>
          <w:p w14:paraId="4632B0F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413</w:t>
            </w:r>
          </w:p>
        </w:tc>
        <w:tc>
          <w:tcPr>
            <w:tcW w:w="1343" w:type="dxa"/>
            <w:tcBorders>
              <w:top w:val="single" w:sz="6" w:space="0" w:color="auto"/>
              <w:left w:val="single" w:sz="6" w:space="0" w:color="auto"/>
              <w:bottom w:val="single" w:sz="6" w:space="0" w:color="auto"/>
              <w:right w:val="single" w:sz="6" w:space="0" w:color="auto"/>
            </w:tcBorders>
          </w:tcPr>
          <w:p w14:paraId="21BB775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13.1</w:t>
            </w:r>
          </w:p>
        </w:tc>
        <w:tc>
          <w:tcPr>
            <w:tcW w:w="1344" w:type="dxa"/>
            <w:tcBorders>
              <w:top w:val="single" w:sz="6" w:space="0" w:color="auto"/>
              <w:left w:val="single" w:sz="6" w:space="0" w:color="auto"/>
              <w:bottom w:val="single" w:sz="6" w:space="0" w:color="auto"/>
              <w:right w:val="single" w:sz="6" w:space="0" w:color="auto"/>
            </w:tcBorders>
          </w:tcPr>
          <w:p w14:paraId="2FDDA09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472</w:t>
            </w:r>
          </w:p>
        </w:tc>
        <w:tc>
          <w:tcPr>
            <w:tcW w:w="1343" w:type="dxa"/>
            <w:tcBorders>
              <w:top w:val="single" w:sz="6" w:space="0" w:color="auto"/>
              <w:left w:val="single" w:sz="6" w:space="0" w:color="auto"/>
              <w:bottom w:val="single" w:sz="6" w:space="0" w:color="auto"/>
              <w:right w:val="single" w:sz="6" w:space="0" w:color="auto"/>
            </w:tcBorders>
          </w:tcPr>
          <w:p w14:paraId="6465A65A"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w:t>
            </w:r>
          </w:p>
        </w:tc>
        <w:tc>
          <w:tcPr>
            <w:tcW w:w="1344" w:type="dxa"/>
            <w:tcBorders>
              <w:top w:val="single" w:sz="6" w:space="0" w:color="auto"/>
              <w:left w:val="single" w:sz="6" w:space="0" w:color="auto"/>
              <w:bottom w:val="single" w:sz="6" w:space="0" w:color="auto"/>
              <w:right w:val="single" w:sz="6" w:space="0" w:color="auto"/>
            </w:tcBorders>
          </w:tcPr>
          <w:p w14:paraId="2AABB61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3,143</w:t>
            </w:r>
          </w:p>
        </w:tc>
      </w:tr>
      <w:tr w:rsidR="00537CE6" w:rsidRPr="00392E0D" w14:paraId="1C0C0140"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4AA5ABD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50BEC9B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1,916</w:t>
            </w:r>
          </w:p>
        </w:tc>
        <w:tc>
          <w:tcPr>
            <w:tcW w:w="1343" w:type="dxa"/>
            <w:tcBorders>
              <w:top w:val="single" w:sz="6" w:space="0" w:color="auto"/>
              <w:left w:val="single" w:sz="6" w:space="0" w:color="auto"/>
              <w:bottom w:val="single" w:sz="6" w:space="0" w:color="auto"/>
              <w:right w:val="single" w:sz="6" w:space="0" w:color="auto"/>
            </w:tcBorders>
          </w:tcPr>
          <w:p w14:paraId="424D9DE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66.3</w:t>
            </w:r>
          </w:p>
        </w:tc>
        <w:tc>
          <w:tcPr>
            <w:tcW w:w="1344" w:type="dxa"/>
            <w:tcBorders>
              <w:top w:val="single" w:sz="6" w:space="0" w:color="auto"/>
              <w:left w:val="single" w:sz="6" w:space="0" w:color="auto"/>
              <w:bottom w:val="single" w:sz="6" w:space="0" w:color="auto"/>
              <w:right w:val="single" w:sz="6" w:space="0" w:color="auto"/>
            </w:tcBorders>
          </w:tcPr>
          <w:p w14:paraId="36AF0BF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434</w:t>
            </w:r>
          </w:p>
        </w:tc>
        <w:tc>
          <w:tcPr>
            <w:tcW w:w="1343" w:type="dxa"/>
            <w:tcBorders>
              <w:top w:val="single" w:sz="6" w:space="0" w:color="auto"/>
              <w:left w:val="single" w:sz="6" w:space="0" w:color="auto"/>
              <w:bottom w:val="single" w:sz="6" w:space="0" w:color="auto"/>
              <w:right w:val="single" w:sz="6" w:space="0" w:color="auto"/>
            </w:tcBorders>
          </w:tcPr>
          <w:p w14:paraId="746A0DC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w:t>
            </w:r>
          </w:p>
        </w:tc>
        <w:tc>
          <w:tcPr>
            <w:tcW w:w="1344" w:type="dxa"/>
            <w:tcBorders>
              <w:top w:val="single" w:sz="6" w:space="0" w:color="auto"/>
              <w:left w:val="single" w:sz="6" w:space="0" w:color="auto"/>
              <w:bottom w:val="single" w:sz="6" w:space="0" w:color="auto"/>
              <w:right w:val="single" w:sz="6" w:space="0" w:color="auto"/>
            </w:tcBorders>
          </w:tcPr>
          <w:p w14:paraId="239F03A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541</w:t>
            </w:r>
          </w:p>
        </w:tc>
        <w:tc>
          <w:tcPr>
            <w:tcW w:w="1343" w:type="dxa"/>
            <w:tcBorders>
              <w:top w:val="single" w:sz="6" w:space="0" w:color="auto"/>
              <w:left w:val="single" w:sz="6" w:space="0" w:color="auto"/>
              <w:bottom w:val="single" w:sz="6" w:space="0" w:color="auto"/>
              <w:right w:val="single" w:sz="6" w:space="0" w:color="auto"/>
            </w:tcBorders>
          </w:tcPr>
          <w:p w14:paraId="265BE36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18.7</w:t>
            </w:r>
          </w:p>
        </w:tc>
        <w:tc>
          <w:tcPr>
            <w:tcW w:w="1344" w:type="dxa"/>
            <w:tcBorders>
              <w:top w:val="single" w:sz="6" w:space="0" w:color="auto"/>
              <w:left w:val="single" w:sz="6" w:space="0" w:color="auto"/>
              <w:bottom w:val="single" w:sz="6" w:space="0" w:color="auto"/>
              <w:right w:val="single" w:sz="6" w:space="0" w:color="auto"/>
            </w:tcBorders>
          </w:tcPr>
          <w:p w14:paraId="2E30AA8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2,891</w:t>
            </w:r>
          </w:p>
        </w:tc>
      </w:tr>
    </w:tbl>
    <w:p w14:paraId="40EB18C1" w14:textId="77777777" w:rsidR="007D1CBD" w:rsidRPr="00392E0D" w:rsidRDefault="007D1CBD">
      <w:pPr>
        <w:widowControl/>
        <w:autoSpaceDE/>
        <w:autoSpaceDN/>
        <w:rPr>
          <w:rFonts w:ascii="Arial" w:eastAsia="Times New Roman" w:hAnsi="Arial" w:cs="Arial"/>
          <w:color w:val="000000" w:themeColor="text1"/>
          <w:sz w:val="21"/>
          <w:szCs w:val="18"/>
        </w:rPr>
      </w:pPr>
      <w:r w:rsidRPr="00392E0D">
        <w:rPr>
          <w:rFonts w:ascii="Arial" w:hAnsi="Arial" w:cs="Arial"/>
        </w:rPr>
        <w:br w:type="page"/>
      </w:r>
    </w:p>
    <w:p w14:paraId="0C689DF8" w14:textId="3F9D2301" w:rsidR="00537CE6" w:rsidRPr="00392E0D" w:rsidRDefault="007D1CBD" w:rsidP="007D1CBD">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100</w:t>
      </w:r>
      <w:r w:rsidRPr="00392E0D">
        <w:rPr>
          <w:rFonts w:cs="Arial"/>
        </w:rPr>
        <w:fldChar w:fldCharType="end"/>
      </w:r>
      <w:r w:rsidRPr="00392E0D">
        <w:rPr>
          <w:rFonts w:cs="Arial"/>
        </w:rPr>
        <w:tab/>
      </w:r>
      <w:r w:rsidR="00537CE6" w:rsidRPr="00392E0D">
        <w:rPr>
          <w:rFonts w:eastAsiaTheme="minorHAnsi" w:cs="Arial"/>
          <w:lang w:val="en-AU"/>
        </w:rPr>
        <w:t>Northern Territory trends (2009 – 2021) – Social Competence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537CE6" w:rsidRPr="00392E0D" w14:paraId="71313E37"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485BA376" w14:textId="77777777" w:rsidR="00537CE6" w:rsidRPr="00392E0D" w:rsidRDefault="00537CE6"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7E9AB9B5" w14:textId="750C83BA"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10D35EC6" w14:textId="69068E80"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17E79BE3" w14:textId="7B4083B7"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2B5411A8" w14:textId="1B676BE5"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3362ABA" w14:textId="29B720C7"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60121376" w14:textId="1EA5B284"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3081734E" w14:textId="23E440DC" w:rsidR="00537CE6"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537CE6" w:rsidRPr="00392E0D" w14:paraId="6831B22E"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92CBDB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1477DBF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1,798</w:t>
            </w:r>
          </w:p>
        </w:tc>
        <w:tc>
          <w:tcPr>
            <w:tcW w:w="1343" w:type="dxa"/>
            <w:tcBorders>
              <w:top w:val="single" w:sz="6" w:space="0" w:color="auto"/>
              <w:left w:val="single" w:sz="6" w:space="0" w:color="auto"/>
              <w:bottom w:val="single" w:sz="6" w:space="0" w:color="auto"/>
              <w:right w:val="single" w:sz="6" w:space="0" w:color="auto"/>
            </w:tcBorders>
          </w:tcPr>
          <w:p w14:paraId="553D960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60.4</w:t>
            </w:r>
          </w:p>
        </w:tc>
        <w:tc>
          <w:tcPr>
            <w:tcW w:w="1344" w:type="dxa"/>
            <w:tcBorders>
              <w:top w:val="single" w:sz="6" w:space="0" w:color="auto"/>
              <w:left w:val="single" w:sz="6" w:space="0" w:color="auto"/>
              <w:bottom w:val="single" w:sz="6" w:space="0" w:color="auto"/>
              <w:right w:val="single" w:sz="6" w:space="0" w:color="auto"/>
            </w:tcBorders>
          </w:tcPr>
          <w:p w14:paraId="36B240F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534</w:t>
            </w:r>
          </w:p>
        </w:tc>
        <w:tc>
          <w:tcPr>
            <w:tcW w:w="1343" w:type="dxa"/>
            <w:tcBorders>
              <w:top w:val="single" w:sz="6" w:space="0" w:color="auto"/>
              <w:left w:val="single" w:sz="6" w:space="0" w:color="auto"/>
              <w:bottom w:val="single" w:sz="6" w:space="0" w:color="auto"/>
              <w:right w:val="single" w:sz="6" w:space="0" w:color="auto"/>
            </w:tcBorders>
          </w:tcPr>
          <w:p w14:paraId="6F73588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17.9</w:t>
            </w:r>
          </w:p>
        </w:tc>
        <w:tc>
          <w:tcPr>
            <w:tcW w:w="1344" w:type="dxa"/>
            <w:tcBorders>
              <w:top w:val="single" w:sz="6" w:space="0" w:color="auto"/>
              <w:left w:val="single" w:sz="6" w:space="0" w:color="auto"/>
              <w:bottom w:val="single" w:sz="6" w:space="0" w:color="auto"/>
              <w:right w:val="single" w:sz="6" w:space="0" w:color="auto"/>
            </w:tcBorders>
          </w:tcPr>
          <w:p w14:paraId="371875E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645</w:t>
            </w:r>
          </w:p>
        </w:tc>
        <w:tc>
          <w:tcPr>
            <w:tcW w:w="1343" w:type="dxa"/>
            <w:tcBorders>
              <w:top w:val="single" w:sz="6" w:space="0" w:color="auto"/>
              <w:left w:val="single" w:sz="6" w:space="0" w:color="auto"/>
              <w:bottom w:val="single" w:sz="6" w:space="0" w:color="auto"/>
              <w:right w:val="single" w:sz="6" w:space="0" w:color="auto"/>
            </w:tcBorders>
          </w:tcPr>
          <w:p w14:paraId="4071168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21.7</w:t>
            </w:r>
          </w:p>
        </w:tc>
        <w:tc>
          <w:tcPr>
            <w:tcW w:w="1344" w:type="dxa"/>
            <w:tcBorders>
              <w:top w:val="single" w:sz="6" w:space="0" w:color="auto"/>
              <w:left w:val="single" w:sz="6" w:space="0" w:color="auto"/>
              <w:bottom w:val="single" w:sz="6" w:space="0" w:color="auto"/>
              <w:right w:val="single" w:sz="6" w:space="0" w:color="auto"/>
            </w:tcBorders>
          </w:tcPr>
          <w:p w14:paraId="4D7A4EE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2,977</w:t>
            </w:r>
          </w:p>
        </w:tc>
      </w:tr>
      <w:tr w:rsidR="00537CE6" w:rsidRPr="00392E0D" w14:paraId="645A17BF"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558D8CB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325D1C6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2,066</w:t>
            </w:r>
          </w:p>
        </w:tc>
        <w:tc>
          <w:tcPr>
            <w:tcW w:w="1343" w:type="dxa"/>
            <w:tcBorders>
              <w:top w:val="single" w:sz="6" w:space="0" w:color="auto"/>
              <w:left w:val="single" w:sz="6" w:space="0" w:color="auto"/>
              <w:bottom w:val="single" w:sz="6" w:space="0" w:color="auto"/>
              <w:right w:val="single" w:sz="6" w:space="0" w:color="auto"/>
            </w:tcBorders>
          </w:tcPr>
          <w:p w14:paraId="391885C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64.8</w:t>
            </w:r>
          </w:p>
        </w:tc>
        <w:tc>
          <w:tcPr>
            <w:tcW w:w="1344" w:type="dxa"/>
            <w:tcBorders>
              <w:top w:val="single" w:sz="6" w:space="0" w:color="auto"/>
              <w:left w:val="single" w:sz="6" w:space="0" w:color="auto"/>
              <w:bottom w:val="single" w:sz="6" w:space="0" w:color="auto"/>
              <w:right w:val="single" w:sz="6" w:space="0" w:color="auto"/>
            </w:tcBorders>
          </w:tcPr>
          <w:p w14:paraId="7CD0C04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556</w:t>
            </w:r>
          </w:p>
        </w:tc>
        <w:tc>
          <w:tcPr>
            <w:tcW w:w="1343" w:type="dxa"/>
            <w:tcBorders>
              <w:top w:val="single" w:sz="6" w:space="0" w:color="auto"/>
              <w:left w:val="single" w:sz="6" w:space="0" w:color="auto"/>
              <w:bottom w:val="single" w:sz="6" w:space="0" w:color="auto"/>
              <w:right w:val="single" w:sz="6" w:space="0" w:color="auto"/>
            </w:tcBorders>
          </w:tcPr>
          <w:p w14:paraId="6F6DBC0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17.4</w:t>
            </w:r>
          </w:p>
        </w:tc>
        <w:tc>
          <w:tcPr>
            <w:tcW w:w="1344" w:type="dxa"/>
            <w:tcBorders>
              <w:top w:val="single" w:sz="6" w:space="0" w:color="auto"/>
              <w:left w:val="single" w:sz="6" w:space="0" w:color="auto"/>
              <w:bottom w:val="single" w:sz="6" w:space="0" w:color="auto"/>
              <w:right w:val="single" w:sz="6" w:space="0" w:color="auto"/>
            </w:tcBorders>
          </w:tcPr>
          <w:p w14:paraId="5FD3878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568</w:t>
            </w:r>
          </w:p>
        </w:tc>
        <w:tc>
          <w:tcPr>
            <w:tcW w:w="1343" w:type="dxa"/>
            <w:tcBorders>
              <w:top w:val="single" w:sz="6" w:space="0" w:color="auto"/>
              <w:left w:val="single" w:sz="6" w:space="0" w:color="auto"/>
              <w:bottom w:val="single" w:sz="6" w:space="0" w:color="auto"/>
              <w:right w:val="single" w:sz="6" w:space="0" w:color="auto"/>
            </w:tcBorders>
          </w:tcPr>
          <w:p w14:paraId="5102186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17.8</w:t>
            </w:r>
          </w:p>
        </w:tc>
        <w:tc>
          <w:tcPr>
            <w:tcW w:w="1344" w:type="dxa"/>
            <w:tcBorders>
              <w:top w:val="single" w:sz="6" w:space="0" w:color="auto"/>
              <w:left w:val="single" w:sz="6" w:space="0" w:color="auto"/>
              <w:bottom w:val="single" w:sz="6" w:space="0" w:color="auto"/>
              <w:right w:val="single" w:sz="6" w:space="0" w:color="auto"/>
            </w:tcBorders>
          </w:tcPr>
          <w:p w14:paraId="5870397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3,190</w:t>
            </w:r>
          </w:p>
        </w:tc>
      </w:tr>
      <w:tr w:rsidR="00537CE6" w:rsidRPr="00392E0D" w14:paraId="7D6EFDA6"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6F4DE21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19E74ED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2,082</w:t>
            </w:r>
          </w:p>
        </w:tc>
        <w:tc>
          <w:tcPr>
            <w:tcW w:w="1343" w:type="dxa"/>
            <w:tcBorders>
              <w:top w:val="single" w:sz="6" w:space="0" w:color="auto"/>
              <w:left w:val="single" w:sz="6" w:space="0" w:color="auto"/>
              <w:bottom w:val="single" w:sz="6" w:space="0" w:color="auto"/>
              <w:right w:val="single" w:sz="6" w:space="0" w:color="auto"/>
            </w:tcBorders>
          </w:tcPr>
          <w:p w14:paraId="59C7864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63.9</w:t>
            </w:r>
          </w:p>
        </w:tc>
        <w:tc>
          <w:tcPr>
            <w:tcW w:w="1344" w:type="dxa"/>
            <w:tcBorders>
              <w:top w:val="single" w:sz="6" w:space="0" w:color="auto"/>
              <w:left w:val="single" w:sz="6" w:space="0" w:color="auto"/>
              <w:bottom w:val="single" w:sz="6" w:space="0" w:color="auto"/>
              <w:right w:val="single" w:sz="6" w:space="0" w:color="auto"/>
            </w:tcBorders>
          </w:tcPr>
          <w:p w14:paraId="5676861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575</w:t>
            </w:r>
          </w:p>
        </w:tc>
        <w:tc>
          <w:tcPr>
            <w:tcW w:w="1343" w:type="dxa"/>
            <w:tcBorders>
              <w:top w:val="single" w:sz="6" w:space="0" w:color="auto"/>
              <w:left w:val="single" w:sz="6" w:space="0" w:color="auto"/>
              <w:bottom w:val="single" w:sz="6" w:space="0" w:color="auto"/>
              <w:right w:val="single" w:sz="6" w:space="0" w:color="auto"/>
            </w:tcBorders>
          </w:tcPr>
          <w:p w14:paraId="1C03F53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17.6</w:t>
            </w:r>
          </w:p>
        </w:tc>
        <w:tc>
          <w:tcPr>
            <w:tcW w:w="1344" w:type="dxa"/>
            <w:tcBorders>
              <w:top w:val="single" w:sz="6" w:space="0" w:color="auto"/>
              <w:left w:val="single" w:sz="6" w:space="0" w:color="auto"/>
              <w:bottom w:val="single" w:sz="6" w:space="0" w:color="auto"/>
              <w:right w:val="single" w:sz="6" w:space="0" w:color="auto"/>
            </w:tcBorders>
          </w:tcPr>
          <w:p w14:paraId="5EE2B09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603</w:t>
            </w:r>
          </w:p>
        </w:tc>
        <w:tc>
          <w:tcPr>
            <w:tcW w:w="1343" w:type="dxa"/>
            <w:tcBorders>
              <w:top w:val="single" w:sz="6" w:space="0" w:color="auto"/>
              <w:left w:val="single" w:sz="6" w:space="0" w:color="auto"/>
              <w:bottom w:val="single" w:sz="6" w:space="0" w:color="auto"/>
              <w:right w:val="single" w:sz="6" w:space="0" w:color="auto"/>
            </w:tcBorders>
          </w:tcPr>
          <w:p w14:paraId="399D95D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w:t>
            </w:r>
          </w:p>
        </w:tc>
        <w:tc>
          <w:tcPr>
            <w:tcW w:w="1344" w:type="dxa"/>
            <w:tcBorders>
              <w:top w:val="single" w:sz="6" w:space="0" w:color="auto"/>
              <w:left w:val="single" w:sz="6" w:space="0" w:color="auto"/>
              <w:bottom w:val="single" w:sz="6" w:space="0" w:color="auto"/>
              <w:right w:val="single" w:sz="6" w:space="0" w:color="auto"/>
            </w:tcBorders>
          </w:tcPr>
          <w:p w14:paraId="6D8AB5D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3,260</w:t>
            </w:r>
          </w:p>
        </w:tc>
      </w:tr>
      <w:tr w:rsidR="00537CE6" w:rsidRPr="00392E0D" w14:paraId="0B794870"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2605D5F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48ED7C8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2,091</w:t>
            </w:r>
          </w:p>
        </w:tc>
        <w:tc>
          <w:tcPr>
            <w:tcW w:w="1343" w:type="dxa"/>
            <w:tcBorders>
              <w:top w:val="single" w:sz="6" w:space="0" w:color="auto"/>
              <w:left w:val="single" w:sz="6" w:space="0" w:color="auto"/>
              <w:bottom w:val="single" w:sz="6" w:space="0" w:color="auto"/>
              <w:right w:val="single" w:sz="6" w:space="0" w:color="auto"/>
            </w:tcBorders>
          </w:tcPr>
          <w:p w14:paraId="59CE47AA"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66.6</w:t>
            </w:r>
          </w:p>
        </w:tc>
        <w:tc>
          <w:tcPr>
            <w:tcW w:w="1344" w:type="dxa"/>
            <w:tcBorders>
              <w:top w:val="single" w:sz="6" w:space="0" w:color="auto"/>
              <w:left w:val="single" w:sz="6" w:space="0" w:color="auto"/>
              <w:bottom w:val="single" w:sz="6" w:space="0" w:color="auto"/>
              <w:right w:val="single" w:sz="6" w:space="0" w:color="auto"/>
            </w:tcBorders>
          </w:tcPr>
          <w:p w14:paraId="59A026B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580</w:t>
            </w:r>
          </w:p>
        </w:tc>
        <w:tc>
          <w:tcPr>
            <w:tcW w:w="1343" w:type="dxa"/>
            <w:tcBorders>
              <w:top w:val="single" w:sz="6" w:space="0" w:color="auto"/>
              <w:left w:val="single" w:sz="6" w:space="0" w:color="auto"/>
              <w:bottom w:val="single" w:sz="6" w:space="0" w:color="auto"/>
              <w:right w:val="single" w:sz="6" w:space="0" w:color="auto"/>
            </w:tcBorders>
          </w:tcPr>
          <w:p w14:paraId="6FF9174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w:t>
            </w:r>
          </w:p>
        </w:tc>
        <w:tc>
          <w:tcPr>
            <w:tcW w:w="1344" w:type="dxa"/>
            <w:tcBorders>
              <w:top w:val="single" w:sz="6" w:space="0" w:color="auto"/>
              <w:left w:val="single" w:sz="6" w:space="0" w:color="auto"/>
              <w:bottom w:val="single" w:sz="6" w:space="0" w:color="auto"/>
              <w:right w:val="single" w:sz="6" w:space="0" w:color="auto"/>
            </w:tcBorders>
          </w:tcPr>
          <w:p w14:paraId="41FF343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468</w:t>
            </w:r>
          </w:p>
        </w:tc>
        <w:tc>
          <w:tcPr>
            <w:tcW w:w="1343" w:type="dxa"/>
            <w:tcBorders>
              <w:top w:val="single" w:sz="6" w:space="0" w:color="auto"/>
              <w:left w:val="single" w:sz="6" w:space="0" w:color="auto"/>
              <w:bottom w:val="single" w:sz="6" w:space="0" w:color="auto"/>
              <w:right w:val="single" w:sz="6" w:space="0" w:color="auto"/>
            </w:tcBorders>
          </w:tcPr>
          <w:p w14:paraId="7682328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w:t>
            </w:r>
          </w:p>
        </w:tc>
        <w:tc>
          <w:tcPr>
            <w:tcW w:w="1344" w:type="dxa"/>
            <w:tcBorders>
              <w:top w:val="single" w:sz="6" w:space="0" w:color="auto"/>
              <w:left w:val="single" w:sz="6" w:space="0" w:color="auto"/>
              <w:bottom w:val="single" w:sz="6" w:space="0" w:color="auto"/>
              <w:right w:val="single" w:sz="6" w:space="0" w:color="auto"/>
            </w:tcBorders>
          </w:tcPr>
          <w:p w14:paraId="7BDA945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3,139</w:t>
            </w:r>
          </w:p>
        </w:tc>
      </w:tr>
      <w:tr w:rsidR="00537CE6" w:rsidRPr="00392E0D" w14:paraId="2E086EAC"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46DCB62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1C4491E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1,865</w:t>
            </w:r>
          </w:p>
        </w:tc>
        <w:tc>
          <w:tcPr>
            <w:tcW w:w="1343" w:type="dxa"/>
            <w:tcBorders>
              <w:top w:val="single" w:sz="6" w:space="0" w:color="auto"/>
              <w:left w:val="single" w:sz="6" w:space="0" w:color="auto"/>
              <w:bottom w:val="single" w:sz="6" w:space="0" w:color="auto"/>
              <w:right w:val="single" w:sz="6" w:space="0" w:color="auto"/>
            </w:tcBorders>
          </w:tcPr>
          <w:p w14:paraId="0D9DB99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64.6</w:t>
            </w:r>
          </w:p>
        </w:tc>
        <w:tc>
          <w:tcPr>
            <w:tcW w:w="1344" w:type="dxa"/>
            <w:tcBorders>
              <w:top w:val="single" w:sz="6" w:space="0" w:color="auto"/>
              <w:left w:val="single" w:sz="6" w:space="0" w:color="auto"/>
              <w:bottom w:val="single" w:sz="6" w:space="0" w:color="auto"/>
              <w:right w:val="single" w:sz="6" w:space="0" w:color="auto"/>
            </w:tcBorders>
          </w:tcPr>
          <w:p w14:paraId="76E6711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504</w:t>
            </w:r>
          </w:p>
        </w:tc>
        <w:tc>
          <w:tcPr>
            <w:tcW w:w="1343" w:type="dxa"/>
            <w:tcBorders>
              <w:top w:val="single" w:sz="6" w:space="0" w:color="auto"/>
              <w:left w:val="single" w:sz="6" w:space="0" w:color="auto"/>
              <w:bottom w:val="single" w:sz="6" w:space="0" w:color="auto"/>
              <w:right w:val="single" w:sz="6" w:space="0" w:color="auto"/>
            </w:tcBorders>
          </w:tcPr>
          <w:p w14:paraId="018D238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w:t>
            </w:r>
          </w:p>
        </w:tc>
        <w:tc>
          <w:tcPr>
            <w:tcW w:w="1344" w:type="dxa"/>
            <w:tcBorders>
              <w:top w:val="single" w:sz="6" w:space="0" w:color="auto"/>
              <w:left w:val="single" w:sz="6" w:space="0" w:color="auto"/>
              <w:bottom w:val="single" w:sz="6" w:space="0" w:color="auto"/>
              <w:right w:val="single" w:sz="6" w:space="0" w:color="auto"/>
            </w:tcBorders>
          </w:tcPr>
          <w:p w14:paraId="1E99818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517</w:t>
            </w:r>
          </w:p>
        </w:tc>
        <w:tc>
          <w:tcPr>
            <w:tcW w:w="1343" w:type="dxa"/>
            <w:tcBorders>
              <w:top w:val="single" w:sz="6" w:space="0" w:color="auto"/>
              <w:left w:val="single" w:sz="6" w:space="0" w:color="auto"/>
              <w:bottom w:val="single" w:sz="6" w:space="0" w:color="auto"/>
              <w:right w:val="single" w:sz="6" w:space="0" w:color="auto"/>
            </w:tcBorders>
          </w:tcPr>
          <w:p w14:paraId="020A354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17.9</w:t>
            </w:r>
          </w:p>
        </w:tc>
        <w:tc>
          <w:tcPr>
            <w:tcW w:w="1344" w:type="dxa"/>
            <w:tcBorders>
              <w:top w:val="single" w:sz="6" w:space="0" w:color="auto"/>
              <w:left w:val="single" w:sz="6" w:space="0" w:color="auto"/>
              <w:bottom w:val="single" w:sz="6" w:space="0" w:color="auto"/>
              <w:right w:val="single" w:sz="6" w:space="0" w:color="auto"/>
            </w:tcBorders>
          </w:tcPr>
          <w:p w14:paraId="5CAB2DC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2,886</w:t>
            </w:r>
          </w:p>
        </w:tc>
      </w:tr>
    </w:tbl>
    <w:p w14:paraId="1677846E" w14:textId="6B67EB94" w:rsidR="00537CE6"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101</w:t>
      </w:r>
      <w:r w:rsidRPr="00392E0D">
        <w:rPr>
          <w:rFonts w:cs="Arial"/>
        </w:rPr>
        <w:fldChar w:fldCharType="end"/>
      </w:r>
      <w:r w:rsidRPr="00392E0D">
        <w:rPr>
          <w:rFonts w:cs="Arial"/>
        </w:rPr>
        <w:tab/>
      </w:r>
      <w:r w:rsidR="00537CE6" w:rsidRPr="00392E0D">
        <w:rPr>
          <w:rFonts w:eastAsiaTheme="minorHAnsi" w:cs="Arial"/>
          <w:lang w:val="en-AU"/>
        </w:rPr>
        <w:t>Northern Territory trends (2009 – 2021) – Emotional Maturity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537CE6" w:rsidRPr="00392E0D" w14:paraId="2B05C7FD"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22194F50" w14:textId="77777777" w:rsidR="00537CE6" w:rsidRPr="00392E0D" w:rsidRDefault="00537CE6"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40047EF6" w14:textId="7A5E4240"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0787877A" w14:textId="35732126"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7564FA35" w14:textId="43BC7C5A"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3DDFA782" w14:textId="36001EF4"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482A0190" w14:textId="2D744E3B"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0E8ADB44" w14:textId="69038729"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000A6D0A" w14:textId="36EF92AC" w:rsidR="00537CE6"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537CE6" w:rsidRPr="00392E0D" w14:paraId="6043A034"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7D606F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08D5C88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1,896</w:t>
            </w:r>
          </w:p>
        </w:tc>
        <w:tc>
          <w:tcPr>
            <w:tcW w:w="1343" w:type="dxa"/>
            <w:tcBorders>
              <w:top w:val="single" w:sz="6" w:space="0" w:color="auto"/>
              <w:left w:val="single" w:sz="6" w:space="0" w:color="auto"/>
              <w:bottom w:val="single" w:sz="6" w:space="0" w:color="auto"/>
              <w:right w:val="single" w:sz="6" w:space="0" w:color="auto"/>
            </w:tcBorders>
          </w:tcPr>
          <w:p w14:paraId="0C7A057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64.0</w:t>
            </w:r>
          </w:p>
        </w:tc>
        <w:tc>
          <w:tcPr>
            <w:tcW w:w="1344" w:type="dxa"/>
            <w:tcBorders>
              <w:top w:val="single" w:sz="6" w:space="0" w:color="auto"/>
              <w:left w:val="single" w:sz="6" w:space="0" w:color="auto"/>
              <w:bottom w:val="single" w:sz="6" w:space="0" w:color="auto"/>
              <w:right w:val="single" w:sz="6" w:space="0" w:color="auto"/>
            </w:tcBorders>
          </w:tcPr>
          <w:p w14:paraId="4030385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542</w:t>
            </w:r>
          </w:p>
        </w:tc>
        <w:tc>
          <w:tcPr>
            <w:tcW w:w="1343" w:type="dxa"/>
            <w:tcBorders>
              <w:top w:val="single" w:sz="6" w:space="0" w:color="auto"/>
              <w:left w:val="single" w:sz="6" w:space="0" w:color="auto"/>
              <w:bottom w:val="single" w:sz="6" w:space="0" w:color="auto"/>
              <w:right w:val="single" w:sz="6" w:space="0" w:color="auto"/>
            </w:tcBorders>
          </w:tcPr>
          <w:p w14:paraId="14EF1FF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18.3</w:t>
            </w:r>
          </w:p>
        </w:tc>
        <w:tc>
          <w:tcPr>
            <w:tcW w:w="1344" w:type="dxa"/>
            <w:tcBorders>
              <w:top w:val="single" w:sz="6" w:space="0" w:color="auto"/>
              <w:left w:val="single" w:sz="6" w:space="0" w:color="auto"/>
              <w:bottom w:val="single" w:sz="6" w:space="0" w:color="auto"/>
              <w:right w:val="single" w:sz="6" w:space="0" w:color="auto"/>
            </w:tcBorders>
          </w:tcPr>
          <w:p w14:paraId="34AA8BA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526</w:t>
            </w:r>
          </w:p>
        </w:tc>
        <w:tc>
          <w:tcPr>
            <w:tcW w:w="1343" w:type="dxa"/>
            <w:tcBorders>
              <w:top w:val="single" w:sz="6" w:space="0" w:color="auto"/>
              <w:left w:val="single" w:sz="6" w:space="0" w:color="auto"/>
              <w:bottom w:val="single" w:sz="6" w:space="0" w:color="auto"/>
              <w:right w:val="single" w:sz="6" w:space="0" w:color="auto"/>
            </w:tcBorders>
          </w:tcPr>
          <w:p w14:paraId="0DBBF9E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17.7</w:t>
            </w:r>
          </w:p>
        </w:tc>
        <w:tc>
          <w:tcPr>
            <w:tcW w:w="1344" w:type="dxa"/>
            <w:tcBorders>
              <w:top w:val="single" w:sz="6" w:space="0" w:color="auto"/>
              <w:left w:val="single" w:sz="6" w:space="0" w:color="auto"/>
              <w:bottom w:val="single" w:sz="6" w:space="0" w:color="auto"/>
              <w:right w:val="single" w:sz="6" w:space="0" w:color="auto"/>
            </w:tcBorders>
          </w:tcPr>
          <w:p w14:paraId="7F6EFF4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2,964</w:t>
            </w:r>
          </w:p>
        </w:tc>
      </w:tr>
      <w:tr w:rsidR="00537CE6" w:rsidRPr="00392E0D" w14:paraId="17F652E0"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D65D64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66D9AD5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2,141</w:t>
            </w:r>
          </w:p>
        </w:tc>
        <w:tc>
          <w:tcPr>
            <w:tcW w:w="1343" w:type="dxa"/>
            <w:tcBorders>
              <w:top w:val="single" w:sz="6" w:space="0" w:color="auto"/>
              <w:left w:val="single" w:sz="6" w:space="0" w:color="auto"/>
              <w:bottom w:val="single" w:sz="6" w:space="0" w:color="auto"/>
              <w:right w:val="single" w:sz="6" w:space="0" w:color="auto"/>
            </w:tcBorders>
          </w:tcPr>
          <w:p w14:paraId="47DBDD1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67.5</w:t>
            </w:r>
          </w:p>
        </w:tc>
        <w:tc>
          <w:tcPr>
            <w:tcW w:w="1344" w:type="dxa"/>
            <w:tcBorders>
              <w:top w:val="single" w:sz="6" w:space="0" w:color="auto"/>
              <w:left w:val="single" w:sz="6" w:space="0" w:color="auto"/>
              <w:bottom w:val="single" w:sz="6" w:space="0" w:color="auto"/>
              <w:right w:val="single" w:sz="6" w:space="0" w:color="auto"/>
            </w:tcBorders>
          </w:tcPr>
          <w:p w14:paraId="58BE7AB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561</w:t>
            </w:r>
          </w:p>
        </w:tc>
        <w:tc>
          <w:tcPr>
            <w:tcW w:w="1343" w:type="dxa"/>
            <w:tcBorders>
              <w:top w:val="single" w:sz="6" w:space="0" w:color="auto"/>
              <w:left w:val="single" w:sz="6" w:space="0" w:color="auto"/>
              <w:bottom w:val="single" w:sz="6" w:space="0" w:color="auto"/>
              <w:right w:val="single" w:sz="6" w:space="0" w:color="auto"/>
            </w:tcBorders>
          </w:tcPr>
          <w:p w14:paraId="1E7604B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17.7</w:t>
            </w:r>
          </w:p>
        </w:tc>
        <w:tc>
          <w:tcPr>
            <w:tcW w:w="1344" w:type="dxa"/>
            <w:tcBorders>
              <w:top w:val="single" w:sz="6" w:space="0" w:color="auto"/>
              <w:left w:val="single" w:sz="6" w:space="0" w:color="auto"/>
              <w:bottom w:val="single" w:sz="6" w:space="0" w:color="auto"/>
              <w:right w:val="single" w:sz="6" w:space="0" w:color="auto"/>
            </w:tcBorders>
          </w:tcPr>
          <w:p w14:paraId="309F923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472</w:t>
            </w:r>
          </w:p>
        </w:tc>
        <w:tc>
          <w:tcPr>
            <w:tcW w:w="1343" w:type="dxa"/>
            <w:tcBorders>
              <w:top w:val="single" w:sz="6" w:space="0" w:color="auto"/>
              <w:left w:val="single" w:sz="6" w:space="0" w:color="auto"/>
              <w:bottom w:val="single" w:sz="6" w:space="0" w:color="auto"/>
              <w:right w:val="single" w:sz="6" w:space="0" w:color="auto"/>
            </w:tcBorders>
          </w:tcPr>
          <w:p w14:paraId="74B9D2A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w:t>
            </w:r>
          </w:p>
        </w:tc>
        <w:tc>
          <w:tcPr>
            <w:tcW w:w="1344" w:type="dxa"/>
            <w:tcBorders>
              <w:top w:val="single" w:sz="6" w:space="0" w:color="auto"/>
              <w:left w:val="single" w:sz="6" w:space="0" w:color="auto"/>
              <w:bottom w:val="single" w:sz="6" w:space="0" w:color="auto"/>
              <w:right w:val="single" w:sz="6" w:space="0" w:color="auto"/>
            </w:tcBorders>
          </w:tcPr>
          <w:p w14:paraId="17D315C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3,174</w:t>
            </w:r>
          </w:p>
        </w:tc>
      </w:tr>
      <w:tr w:rsidR="00537CE6" w:rsidRPr="00392E0D" w14:paraId="1BF16A69"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5FD612F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32A2ABC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2,140</w:t>
            </w:r>
          </w:p>
        </w:tc>
        <w:tc>
          <w:tcPr>
            <w:tcW w:w="1343" w:type="dxa"/>
            <w:tcBorders>
              <w:top w:val="single" w:sz="6" w:space="0" w:color="auto"/>
              <w:left w:val="single" w:sz="6" w:space="0" w:color="auto"/>
              <w:bottom w:val="single" w:sz="6" w:space="0" w:color="auto"/>
              <w:right w:val="single" w:sz="6" w:space="0" w:color="auto"/>
            </w:tcBorders>
          </w:tcPr>
          <w:p w14:paraId="25A3E80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65.9</w:t>
            </w:r>
          </w:p>
        </w:tc>
        <w:tc>
          <w:tcPr>
            <w:tcW w:w="1344" w:type="dxa"/>
            <w:tcBorders>
              <w:top w:val="single" w:sz="6" w:space="0" w:color="auto"/>
              <w:left w:val="single" w:sz="6" w:space="0" w:color="auto"/>
              <w:bottom w:val="single" w:sz="6" w:space="0" w:color="auto"/>
              <w:right w:val="single" w:sz="6" w:space="0" w:color="auto"/>
            </w:tcBorders>
          </w:tcPr>
          <w:p w14:paraId="1C09110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603</w:t>
            </w:r>
          </w:p>
        </w:tc>
        <w:tc>
          <w:tcPr>
            <w:tcW w:w="1343" w:type="dxa"/>
            <w:tcBorders>
              <w:top w:val="single" w:sz="6" w:space="0" w:color="auto"/>
              <w:left w:val="single" w:sz="6" w:space="0" w:color="auto"/>
              <w:bottom w:val="single" w:sz="6" w:space="0" w:color="auto"/>
              <w:right w:val="single" w:sz="6" w:space="0" w:color="auto"/>
            </w:tcBorders>
          </w:tcPr>
          <w:p w14:paraId="22DE69F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18.6</w:t>
            </w:r>
          </w:p>
        </w:tc>
        <w:tc>
          <w:tcPr>
            <w:tcW w:w="1344" w:type="dxa"/>
            <w:tcBorders>
              <w:top w:val="single" w:sz="6" w:space="0" w:color="auto"/>
              <w:left w:val="single" w:sz="6" w:space="0" w:color="auto"/>
              <w:bottom w:val="single" w:sz="6" w:space="0" w:color="auto"/>
              <w:right w:val="single" w:sz="6" w:space="0" w:color="auto"/>
            </w:tcBorders>
          </w:tcPr>
          <w:p w14:paraId="49942CA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504</w:t>
            </w:r>
          </w:p>
        </w:tc>
        <w:tc>
          <w:tcPr>
            <w:tcW w:w="1343" w:type="dxa"/>
            <w:tcBorders>
              <w:top w:val="single" w:sz="6" w:space="0" w:color="auto"/>
              <w:left w:val="single" w:sz="6" w:space="0" w:color="auto"/>
              <w:bottom w:val="single" w:sz="6" w:space="0" w:color="auto"/>
              <w:right w:val="single" w:sz="6" w:space="0" w:color="auto"/>
            </w:tcBorders>
          </w:tcPr>
          <w:p w14:paraId="5482E40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w:t>
            </w:r>
          </w:p>
        </w:tc>
        <w:tc>
          <w:tcPr>
            <w:tcW w:w="1344" w:type="dxa"/>
            <w:tcBorders>
              <w:top w:val="single" w:sz="6" w:space="0" w:color="auto"/>
              <w:left w:val="single" w:sz="6" w:space="0" w:color="auto"/>
              <w:bottom w:val="single" w:sz="6" w:space="0" w:color="auto"/>
              <w:right w:val="single" w:sz="6" w:space="0" w:color="auto"/>
            </w:tcBorders>
          </w:tcPr>
          <w:p w14:paraId="3C72D20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3,247</w:t>
            </w:r>
          </w:p>
        </w:tc>
      </w:tr>
      <w:tr w:rsidR="00537CE6" w:rsidRPr="00392E0D" w14:paraId="37A6B7C2"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78BF34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6F006F9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2,100</w:t>
            </w:r>
          </w:p>
        </w:tc>
        <w:tc>
          <w:tcPr>
            <w:tcW w:w="1343" w:type="dxa"/>
            <w:tcBorders>
              <w:top w:val="single" w:sz="6" w:space="0" w:color="auto"/>
              <w:left w:val="single" w:sz="6" w:space="0" w:color="auto"/>
              <w:bottom w:val="single" w:sz="6" w:space="0" w:color="auto"/>
              <w:right w:val="single" w:sz="6" w:space="0" w:color="auto"/>
            </w:tcBorders>
          </w:tcPr>
          <w:p w14:paraId="7EC5BF4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67.4</w:t>
            </w:r>
          </w:p>
        </w:tc>
        <w:tc>
          <w:tcPr>
            <w:tcW w:w="1344" w:type="dxa"/>
            <w:tcBorders>
              <w:top w:val="single" w:sz="6" w:space="0" w:color="auto"/>
              <w:left w:val="single" w:sz="6" w:space="0" w:color="auto"/>
              <w:bottom w:val="single" w:sz="6" w:space="0" w:color="auto"/>
              <w:right w:val="single" w:sz="6" w:space="0" w:color="auto"/>
            </w:tcBorders>
          </w:tcPr>
          <w:p w14:paraId="0349103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593</w:t>
            </w:r>
          </w:p>
        </w:tc>
        <w:tc>
          <w:tcPr>
            <w:tcW w:w="1343" w:type="dxa"/>
            <w:tcBorders>
              <w:top w:val="single" w:sz="6" w:space="0" w:color="auto"/>
              <w:left w:val="single" w:sz="6" w:space="0" w:color="auto"/>
              <w:bottom w:val="single" w:sz="6" w:space="0" w:color="auto"/>
              <w:right w:val="single" w:sz="6" w:space="0" w:color="auto"/>
            </w:tcBorders>
          </w:tcPr>
          <w:p w14:paraId="2500EC9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19.0</w:t>
            </w:r>
          </w:p>
        </w:tc>
        <w:tc>
          <w:tcPr>
            <w:tcW w:w="1344" w:type="dxa"/>
            <w:tcBorders>
              <w:top w:val="single" w:sz="6" w:space="0" w:color="auto"/>
              <w:left w:val="single" w:sz="6" w:space="0" w:color="auto"/>
              <w:bottom w:val="single" w:sz="6" w:space="0" w:color="auto"/>
              <w:right w:val="single" w:sz="6" w:space="0" w:color="auto"/>
            </w:tcBorders>
          </w:tcPr>
          <w:p w14:paraId="2F8072E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421</w:t>
            </w:r>
          </w:p>
        </w:tc>
        <w:tc>
          <w:tcPr>
            <w:tcW w:w="1343" w:type="dxa"/>
            <w:tcBorders>
              <w:top w:val="single" w:sz="6" w:space="0" w:color="auto"/>
              <w:left w:val="single" w:sz="6" w:space="0" w:color="auto"/>
              <w:bottom w:val="single" w:sz="6" w:space="0" w:color="auto"/>
              <w:right w:val="single" w:sz="6" w:space="0" w:color="auto"/>
            </w:tcBorders>
          </w:tcPr>
          <w:p w14:paraId="6DC5254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13.5</w:t>
            </w:r>
          </w:p>
        </w:tc>
        <w:tc>
          <w:tcPr>
            <w:tcW w:w="1344" w:type="dxa"/>
            <w:tcBorders>
              <w:top w:val="single" w:sz="6" w:space="0" w:color="auto"/>
              <w:left w:val="single" w:sz="6" w:space="0" w:color="auto"/>
              <w:bottom w:val="single" w:sz="6" w:space="0" w:color="auto"/>
              <w:right w:val="single" w:sz="6" w:space="0" w:color="auto"/>
            </w:tcBorders>
          </w:tcPr>
          <w:p w14:paraId="3F338CA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3,114</w:t>
            </w:r>
          </w:p>
        </w:tc>
      </w:tr>
      <w:tr w:rsidR="00537CE6" w:rsidRPr="00392E0D" w14:paraId="273C44F8"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1E45AF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0082157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1,885</w:t>
            </w:r>
          </w:p>
        </w:tc>
        <w:tc>
          <w:tcPr>
            <w:tcW w:w="1343" w:type="dxa"/>
            <w:tcBorders>
              <w:top w:val="single" w:sz="6" w:space="0" w:color="auto"/>
              <w:left w:val="single" w:sz="6" w:space="0" w:color="auto"/>
              <w:bottom w:val="single" w:sz="6" w:space="0" w:color="auto"/>
              <w:right w:val="single" w:sz="6" w:space="0" w:color="auto"/>
            </w:tcBorders>
          </w:tcPr>
          <w:p w14:paraId="197D388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66.0</w:t>
            </w:r>
          </w:p>
        </w:tc>
        <w:tc>
          <w:tcPr>
            <w:tcW w:w="1344" w:type="dxa"/>
            <w:tcBorders>
              <w:top w:val="single" w:sz="6" w:space="0" w:color="auto"/>
              <w:left w:val="single" w:sz="6" w:space="0" w:color="auto"/>
              <w:bottom w:val="single" w:sz="6" w:space="0" w:color="auto"/>
              <w:right w:val="single" w:sz="6" w:space="0" w:color="auto"/>
            </w:tcBorders>
          </w:tcPr>
          <w:p w14:paraId="73EDD6B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533</w:t>
            </w:r>
          </w:p>
        </w:tc>
        <w:tc>
          <w:tcPr>
            <w:tcW w:w="1343" w:type="dxa"/>
            <w:tcBorders>
              <w:top w:val="single" w:sz="6" w:space="0" w:color="auto"/>
              <w:left w:val="single" w:sz="6" w:space="0" w:color="auto"/>
              <w:bottom w:val="single" w:sz="6" w:space="0" w:color="auto"/>
              <w:right w:val="single" w:sz="6" w:space="0" w:color="auto"/>
            </w:tcBorders>
          </w:tcPr>
          <w:p w14:paraId="06537A7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18.6</w:t>
            </w:r>
          </w:p>
        </w:tc>
        <w:tc>
          <w:tcPr>
            <w:tcW w:w="1344" w:type="dxa"/>
            <w:tcBorders>
              <w:top w:val="single" w:sz="6" w:space="0" w:color="auto"/>
              <w:left w:val="single" w:sz="6" w:space="0" w:color="auto"/>
              <w:bottom w:val="single" w:sz="6" w:space="0" w:color="auto"/>
              <w:right w:val="single" w:sz="6" w:space="0" w:color="auto"/>
            </w:tcBorders>
          </w:tcPr>
          <w:p w14:paraId="4B8D339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440</w:t>
            </w:r>
          </w:p>
        </w:tc>
        <w:tc>
          <w:tcPr>
            <w:tcW w:w="1343" w:type="dxa"/>
            <w:tcBorders>
              <w:top w:val="single" w:sz="6" w:space="0" w:color="auto"/>
              <w:left w:val="single" w:sz="6" w:space="0" w:color="auto"/>
              <w:bottom w:val="single" w:sz="6" w:space="0" w:color="auto"/>
              <w:right w:val="single" w:sz="6" w:space="0" w:color="auto"/>
            </w:tcBorders>
          </w:tcPr>
          <w:p w14:paraId="030203D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w:t>
            </w:r>
          </w:p>
        </w:tc>
        <w:tc>
          <w:tcPr>
            <w:tcW w:w="1344" w:type="dxa"/>
            <w:tcBorders>
              <w:top w:val="single" w:sz="6" w:space="0" w:color="auto"/>
              <w:left w:val="single" w:sz="6" w:space="0" w:color="auto"/>
              <w:bottom w:val="single" w:sz="6" w:space="0" w:color="auto"/>
              <w:right w:val="single" w:sz="6" w:space="0" w:color="auto"/>
            </w:tcBorders>
          </w:tcPr>
          <w:p w14:paraId="7F597DC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2,858</w:t>
            </w:r>
          </w:p>
        </w:tc>
      </w:tr>
    </w:tbl>
    <w:p w14:paraId="7361D04A" w14:textId="6E95EEEA" w:rsidR="00537CE6"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102</w:t>
      </w:r>
      <w:r w:rsidRPr="00392E0D">
        <w:rPr>
          <w:rFonts w:cs="Arial"/>
        </w:rPr>
        <w:fldChar w:fldCharType="end"/>
      </w:r>
      <w:r w:rsidRPr="00392E0D">
        <w:rPr>
          <w:rFonts w:cs="Arial"/>
        </w:rPr>
        <w:tab/>
      </w:r>
      <w:r w:rsidR="00537CE6" w:rsidRPr="00392E0D">
        <w:rPr>
          <w:rFonts w:eastAsiaTheme="minorHAnsi" w:cs="Arial"/>
          <w:lang w:val="en-AU"/>
        </w:rPr>
        <w:t>Northern Territory trends (2009 – 2021) – Language and cognitive skills (school-based)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537CE6" w:rsidRPr="00392E0D" w14:paraId="360B5D82" w14:textId="77777777" w:rsidTr="00B31A96">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683432CC" w14:textId="77777777" w:rsidR="00537CE6" w:rsidRPr="00392E0D" w:rsidRDefault="00537CE6"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358DBCC3" w14:textId="0F046B7E"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198F59F6" w14:textId="0797B343"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2B7AF308" w14:textId="563226EA"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26CA4A62" w14:textId="267FC5D7"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3994483A" w14:textId="33A55D6D"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08A39C82" w14:textId="4C36F4A1"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07B7ECFD" w14:textId="202A21D4" w:rsidR="00537CE6"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537CE6" w:rsidRPr="00392E0D" w14:paraId="37DBF325"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6D0F158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76B9929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1,946</w:t>
            </w:r>
          </w:p>
        </w:tc>
        <w:tc>
          <w:tcPr>
            <w:tcW w:w="1343" w:type="dxa"/>
            <w:tcBorders>
              <w:top w:val="single" w:sz="6" w:space="0" w:color="auto"/>
              <w:left w:val="single" w:sz="6" w:space="0" w:color="auto"/>
              <w:bottom w:val="single" w:sz="6" w:space="0" w:color="auto"/>
              <w:right w:val="single" w:sz="6" w:space="0" w:color="auto"/>
            </w:tcBorders>
          </w:tcPr>
          <w:p w14:paraId="48398DB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65.5</w:t>
            </w:r>
          </w:p>
        </w:tc>
        <w:tc>
          <w:tcPr>
            <w:tcW w:w="1344" w:type="dxa"/>
            <w:tcBorders>
              <w:top w:val="single" w:sz="6" w:space="0" w:color="auto"/>
              <w:left w:val="single" w:sz="6" w:space="0" w:color="auto"/>
              <w:bottom w:val="single" w:sz="6" w:space="0" w:color="auto"/>
              <w:right w:val="single" w:sz="6" w:space="0" w:color="auto"/>
            </w:tcBorders>
          </w:tcPr>
          <w:p w14:paraId="62FD62E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397</w:t>
            </w:r>
          </w:p>
        </w:tc>
        <w:tc>
          <w:tcPr>
            <w:tcW w:w="1343" w:type="dxa"/>
            <w:tcBorders>
              <w:top w:val="single" w:sz="6" w:space="0" w:color="auto"/>
              <w:left w:val="single" w:sz="6" w:space="0" w:color="auto"/>
              <w:bottom w:val="single" w:sz="6" w:space="0" w:color="auto"/>
              <w:right w:val="single" w:sz="6" w:space="0" w:color="auto"/>
            </w:tcBorders>
          </w:tcPr>
          <w:p w14:paraId="2DC7A96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w:t>
            </w:r>
          </w:p>
        </w:tc>
        <w:tc>
          <w:tcPr>
            <w:tcW w:w="1344" w:type="dxa"/>
            <w:tcBorders>
              <w:top w:val="single" w:sz="6" w:space="0" w:color="auto"/>
              <w:left w:val="single" w:sz="6" w:space="0" w:color="auto"/>
              <w:bottom w:val="single" w:sz="6" w:space="0" w:color="auto"/>
              <w:right w:val="single" w:sz="6" w:space="0" w:color="auto"/>
            </w:tcBorders>
          </w:tcPr>
          <w:p w14:paraId="5FB9E54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630</w:t>
            </w:r>
          </w:p>
        </w:tc>
        <w:tc>
          <w:tcPr>
            <w:tcW w:w="1343" w:type="dxa"/>
            <w:tcBorders>
              <w:top w:val="single" w:sz="6" w:space="0" w:color="auto"/>
              <w:left w:val="single" w:sz="6" w:space="0" w:color="auto"/>
              <w:bottom w:val="single" w:sz="6" w:space="0" w:color="auto"/>
              <w:right w:val="single" w:sz="6" w:space="0" w:color="auto"/>
            </w:tcBorders>
          </w:tcPr>
          <w:p w14:paraId="799E867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w:t>
            </w:r>
          </w:p>
        </w:tc>
        <w:tc>
          <w:tcPr>
            <w:tcW w:w="1344" w:type="dxa"/>
            <w:tcBorders>
              <w:top w:val="single" w:sz="6" w:space="0" w:color="auto"/>
              <w:left w:val="single" w:sz="6" w:space="0" w:color="auto"/>
              <w:bottom w:val="single" w:sz="6" w:space="0" w:color="auto"/>
              <w:right w:val="single" w:sz="6" w:space="0" w:color="auto"/>
            </w:tcBorders>
          </w:tcPr>
          <w:p w14:paraId="519AB9E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2,973</w:t>
            </w:r>
          </w:p>
        </w:tc>
      </w:tr>
      <w:tr w:rsidR="00537CE6" w:rsidRPr="00392E0D" w14:paraId="2251264B"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C0BACC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36F136E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2,124</w:t>
            </w:r>
          </w:p>
        </w:tc>
        <w:tc>
          <w:tcPr>
            <w:tcW w:w="1343" w:type="dxa"/>
            <w:tcBorders>
              <w:top w:val="single" w:sz="6" w:space="0" w:color="auto"/>
              <w:left w:val="single" w:sz="6" w:space="0" w:color="auto"/>
              <w:bottom w:val="single" w:sz="6" w:space="0" w:color="auto"/>
              <w:right w:val="single" w:sz="6" w:space="0" w:color="auto"/>
            </w:tcBorders>
          </w:tcPr>
          <w:p w14:paraId="5ED4DEA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66.8</w:t>
            </w:r>
          </w:p>
        </w:tc>
        <w:tc>
          <w:tcPr>
            <w:tcW w:w="1344" w:type="dxa"/>
            <w:tcBorders>
              <w:top w:val="single" w:sz="6" w:space="0" w:color="auto"/>
              <w:left w:val="single" w:sz="6" w:space="0" w:color="auto"/>
              <w:bottom w:val="single" w:sz="6" w:space="0" w:color="auto"/>
              <w:right w:val="single" w:sz="6" w:space="0" w:color="auto"/>
            </w:tcBorders>
          </w:tcPr>
          <w:p w14:paraId="276E0A6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433</w:t>
            </w:r>
          </w:p>
        </w:tc>
        <w:tc>
          <w:tcPr>
            <w:tcW w:w="1343" w:type="dxa"/>
            <w:tcBorders>
              <w:top w:val="single" w:sz="6" w:space="0" w:color="auto"/>
              <w:left w:val="single" w:sz="6" w:space="0" w:color="auto"/>
              <w:bottom w:val="single" w:sz="6" w:space="0" w:color="auto"/>
              <w:right w:val="single" w:sz="6" w:space="0" w:color="auto"/>
            </w:tcBorders>
          </w:tcPr>
          <w:p w14:paraId="4392D11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13.6</w:t>
            </w:r>
          </w:p>
        </w:tc>
        <w:tc>
          <w:tcPr>
            <w:tcW w:w="1344" w:type="dxa"/>
            <w:tcBorders>
              <w:top w:val="single" w:sz="6" w:space="0" w:color="auto"/>
              <w:left w:val="single" w:sz="6" w:space="0" w:color="auto"/>
              <w:bottom w:val="single" w:sz="6" w:space="0" w:color="auto"/>
              <w:right w:val="single" w:sz="6" w:space="0" w:color="auto"/>
            </w:tcBorders>
          </w:tcPr>
          <w:p w14:paraId="726B280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625</w:t>
            </w:r>
          </w:p>
        </w:tc>
        <w:tc>
          <w:tcPr>
            <w:tcW w:w="1343" w:type="dxa"/>
            <w:tcBorders>
              <w:top w:val="single" w:sz="6" w:space="0" w:color="auto"/>
              <w:left w:val="single" w:sz="6" w:space="0" w:color="auto"/>
              <w:bottom w:val="single" w:sz="6" w:space="0" w:color="auto"/>
              <w:right w:val="single" w:sz="6" w:space="0" w:color="auto"/>
            </w:tcBorders>
          </w:tcPr>
          <w:p w14:paraId="13EA9C5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19.6</w:t>
            </w:r>
          </w:p>
        </w:tc>
        <w:tc>
          <w:tcPr>
            <w:tcW w:w="1344" w:type="dxa"/>
            <w:tcBorders>
              <w:top w:val="single" w:sz="6" w:space="0" w:color="auto"/>
              <w:left w:val="single" w:sz="6" w:space="0" w:color="auto"/>
              <w:bottom w:val="single" w:sz="6" w:space="0" w:color="auto"/>
              <w:right w:val="single" w:sz="6" w:space="0" w:color="auto"/>
            </w:tcBorders>
          </w:tcPr>
          <w:p w14:paraId="2A7D41C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3,182</w:t>
            </w:r>
          </w:p>
        </w:tc>
      </w:tr>
      <w:tr w:rsidR="00537CE6" w:rsidRPr="00392E0D" w14:paraId="20F2D15D"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E36CB2A"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371CBB6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2,129</w:t>
            </w:r>
          </w:p>
        </w:tc>
        <w:tc>
          <w:tcPr>
            <w:tcW w:w="1343" w:type="dxa"/>
            <w:tcBorders>
              <w:top w:val="single" w:sz="6" w:space="0" w:color="auto"/>
              <w:left w:val="single" w:sz="6" w:space="0" w:color="auto"/>
              <w:bottom w:val="single" w:sz="6" w:space="0" w:color="auto"/>
              <w:right w:val="single" w:sz="6" w:space="0" w:color="auto"/>
            </w:tcBorders>
          </w:tcPr>
          <w:p w14:paraId="644E8AFA"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65.6</w:t>
            </w:r>
          </w:p>
        </w:tc>
        <w:tc>
          <w:tcPr>
            <w:tcW w:w="1344" w:type="dxa"/>
            <w:tcBorders>
              <w:top w:val="single" w:sz="6" w:space="0" w:color="auto"/>
              <w:left w:val="single" w:sz="6" w:space="0" w:color="auto"/>
              <w:bottom w:val="single" w:sz="6" w:space="0" w:color="auto"/>
              <w:right w:val="single" w:sz="6" w:space="0" w:color="auto"/>
            </w:tcBorders>
          </w:tcPr>
          <w:p w14:paraId="34367EE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421</w:t>
            </w:r>
          </w:p>
        </w:tc>
        <w:tc>
          <w:tcPr>
            <w:tcW w:w="1343" w:type="dxa"/>
            <w:tcBorders>
              <w:top w:val="single" w:sz="6" w:space="0" w:color="auto"/>
              <w:left w:val="single" w:sz="6" w:space="0" w:color="auto"/>
              <w:bottom w:val="single" w:sz="6" w:space="0" w:color="auto"/>
              <w:right w:val="single" w:sz="6" w:space="0" w:color="auto"/>
            </w:tcBorders>
          </w:tcPr>
          <w:p w14:paraId="29AE19F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13.0</w:t>
            </w:r>
          </w:p>
        </w:tc>
        <w:tc>
          <w:tcPr>
            <w:tcW w:w="1344" w:type="dxa"/>
            <w:tcBorders>
              <w:top w:val="single" w:sz="6" w:space="0" w:color="auto"/>
              <w:left w:val="single" w:sz="6" w:space="0" w:color="auto"/>
              <w:bottom w:val="single" w:sz="6" w:space="0" w:color="auto"/>
              <w:right w:val="single" w:sz="6" w:space="0" w:color="auto"/>
            </w:tcBorders>
          </w:tcPr>
          <w:p w14:paraId="1727C4B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697</w:t>
            </w:r>
          </w:p>
        </w:tc>
        <w:tc>
          <w:tcPr>
            <w:tcW w:w="1343" w:type="dxa"/>
            <w:tcBorders>
              <w:top w:val="single" w:sz="6" w:space="0" w:color="auto"/>
              <w:left w:val="single" w:sz="6" w:space="0" w:color="auto"/>
              <w:bottom w:val="single" w:sz="6" w:space="0" w:color="auto"/>
              <w:right w:val="single" w:sz="6" w:space="0" w:color="auto"/>
            </w:tcBorders>
          </w:tcPr>
          <w:p w14:paraId="6BB391F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w:t>
            </w:r>
          </w:p>
        </w:tc>
        <w:tc>
          <w:tcPr>
            <w:tcW w:w="1344" w:type="dxa"/>
            <w:tcBorders>
              <w:top w:val="single" w:sz="6" w:space="0" w:color="auto"/>
              <w:left w:val="single" w:sz="6" w:space="0" w:color="auto"/>
              <w:bottom w:val="single" w:sz="6" w:space="0" w:color="auto"/>
              <w:right w:val="single" w:sz="6" w:space="0" w:color="auto"/>
            </w:tcBorders>
          </w:tcPr>
          <w:p w14:paraId="62F30AD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3,247</w:t>
            </w:r>
          </w:p>
        </w:tc>
      </w:tr>
      <w:tr w:rsidR="00537CE6" w:rsidRPr="00392E0D" w14:paraId="7D14249A"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E56A3A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7CD1AA8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1,938</w:t>
            </w:r>
          </w:p>
        </w:tc>
        <w:tc>
          <w:tcPr>
            <w:tcW w:w="1343" w:type="dxa"/>
            <w:tcBorders>
              <w:top w:val="single" w:sz="6" w:space="0" w:color="auto"/>
              <w:left w:val="single" w:sz="6" w:space="0" w:color="auto"/>
              <w:bottom w:val="single" w:sz="6" w:space="0" w:color="auto"/>
              <w:right w:val="single" w:sz="6" w:space="0" w:color="auto"/>
            </w:tcBorders>
          </w:tcPr>
          <w:p w14:paraId="12876A2A"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62.0</w:t>
            </w:r>
          </w:p>
        </w:tc>
        <w:tc>
          <w:tcPr>
            <w:tcW w:w="1344" w:type="dxa"/>
            <w:tcBorders>
              <w:top w:val="single" w:sz="6" w:space="0" w:color="auto"/>
              <w:left w:val="single" w:sz="6" w:space="0" w:color="auto"/>
              <w:bottom w:val="single" w:sz="6" w:space="0" w:color="auto"/>
              <w:right w:val="single" w:sz="6" w:space="0" w:color="auto"/>
            </w:tcBorders>
          </w:tcPr>
          <w:p w14:paraId="7000896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537</w:t>
            </w:r>
          </w:p>
        </w:tc>
        <w:tc>
          <w:tcPr>
            <w:tcW w:w="1343" w:type="dxa"/>
            <w:tcBorders>
              <w:top w:val="single" w:sz="6" w:space="0" w:color="auto"/>
              <w:left w:val="single" w:sz="6" w:space="0" w:color="auto"/>
              <w:bottom w:val="single" w:sz="6" w:space="0" w:color="auto"/>
              <w:right w:val="single" w:sz="6" w:space="0" w:color="auto"/>
            </w:tcBorders>
          </w:tcPr>
          <w:p w14:paraId="5FA4EEF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17.2</w:t>
            </w:r>
          </w:p>
        </w:tc>
        <w:tc>
          <w:tcPr>
            <w:tcW w:w="1344" w:type="dxa"/>
            <w:tcBorders>
              <w:top w:val="single" w:sz="6" w:space="0" w:color="auto"/>
              <w:left w:val="single" w:sz="6" w:space="0" w:color="auto"/>
              <w:bottom w:val="single" w:sz="6" w:space="0" w:color="auto"/>
              <w:right w:val="single" w:sz="6" w:space="0" w:color="auto"/>
            </w:tcBorders>
          </w:tcPr>
          <w:p w14:paraId="557067F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649</w:t>
            </w:r>
          </w:p>
        </w:tc>
        <w:tc>
          <w:tcPr>
            <w:tcW w:w="1343" w:type="dxa"/>
            <w:tcBorders>
              <w:top w:val="single" w:sz="6" w:space="0" w:color="auto"/>
              <w:left w:val="single" w:sz="6" w:space="0" w:color="auto"/>
              <w:bottom w:val="single" w:sz="6" w:space="0" w:color="auto"/>
              <w:right w:val="single" w:sz="6" w:space="0" w:color="auto"/>
            </w:tcBorders>
          </w:tcPr>
          <w:p w14:paraId="5450B689"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20.8</w:t>
            </w:r>
          </w:p>
        </w:tc>
        <w:tc>
          <w:tcPr>
            <w:tcW w:w="1344" w:type="dxa"/>
            <w:tcBorders>
              <w:top w:val="single" w:sz="6" w:space="0" w:color="auto"/>
              <w:left w:val="single" w:sz="6" w:space="0" w:color="auto"/>
              <w:bottom w:val="single" w:sz="6" w:space="0" w:color="auto"/>
              <w:right w:val="single" w:sz="6" w:space="0" w:color="auto"/>
            </w:tcBorders>
          </w:tcPr>
          <w:p w14:paraId="377776C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3,124</w:t>
            </w:r>
          </w:p>
        </w:tc>
      </w:tr>
      <w:tr w:rsidR="00537CE6" w:rsidRPr="00392E0D" w14:paraId="0CD21BD7"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8CD1B4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3F9BA1C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1,722</w:t>
            </w:r>
          </w:p>
        </w:tc>
        <w:tc>
          <w:tcPr>
            <w:tcW w:w="1343" w:type="dxa"/>
            <w:tcBorders>
              <w:top w:val="single" w:sz="6" w:space="0" w:color="auto"/>
              <w:left w:val="single" w:sz="6" w:space="0" w:color="auto"/>
              <w:bottom w:val="single" w:sz="6" w:space="0" w:color="auto"/>
              <w:right w:val="single" w:sz="6" w:space="0" w:color="auto"/>
            </w:tcBorders>
          </w:tcPr>
          <w:p w14:paraId="509ADB6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60.2</w:t>
            </w:r>
          </w:p>
        </w:tc>
        <w:tc>
          <w:tcPr>
            <w:tcW w:w="1344" w:type="dxa"/>
            <w:tcBorders>
              <w:top w:val="single" w:sz="6" w:space="0" w:color="auto"/>
              <w:left w:val="single" w:sz="6" w:space="0" w:color="auto"/>
              <w:bottom w:val="single" w:sz="6" w:space="0" w:color="auto"/>
              <w:right w:val="single" w:sz="6" w:space="0" w:color="auto"/>
            </w:tcBorders>
          </w:tcPr>
          <w:p w14:paraId="5FDF3B5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494</w:t>
            </w:r>
          </w:p>
        </w:tc>
        <w:tc>
          <w:tcPr>
            <w:tcW w:w="1343" w:type="dxa"/>
            <w:tcBorders>
              <w:top w:val="single" w:sz="6" w:space="0" w:color="auto"/>
              <w:left w:val="single" w:sz="6" w:space="0" w:color="auto"/>
              <w:bottom w:val="single" w:sz="6" w:space="0" w:color="auto"/>
              <w:right w:val="single" w:sz="6" w:space="0" w:color="auto"/>
            </w:tcBorders>
          </w:tcPr>
          <w:p w14:paraId="11F4FC7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17.3</w:t>
            </w:r>
          </w:p>
        </w:tc>
        <w:tc>
          <w:tcPr>
            <w:tcW w:w="1344" w:type="dxa"/>
            <w:tcBorders>
              <w:top w:val="single" w:sz="6" w:space="0" w:color="auto"/>
              <w:left w:val="single" w:sz="6" w:space="0" w:color="auto"/>
              <w:bottom w:val="single" w:sz="6" w:space="0" w:color="auto"/>
              <w:right w:val="single" w:sz="6" w:space="0" w:color="auto"/>
            </w:tcBorders>
          </w:tcPr>
          <w:p w14:paraId="7E85EBA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644</w:t>
            </w:r>
          </w:p>
        </w:tc>
        <w:tc>
          <w:tcPr>
            <w:tcW w:w="1343" w:type="dxa"/>
            <w:tcBorders>
              <w:top w:val="single" w:sz="6" w:space="0" w:color="auto"/>
              <w:left w:val="single" w:sz="6" w:space="0" w:color="auto"/>
              <w:bottom w:val="single" w:sz="6" w:space="0" w:color="auto"/>
              <w:right w:val="single" w:sz="6" w:space="0" w:color="auto"/>
            </w:tcBorders>
          </w:tcPr>
          <w:p w14:paraId="72ADFC4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22.5</w:t>
            </w:r>
          </w:p>
        </w:tc>
        <w:tc>
          <w:tcPr>
            <w:tcW w:w="1344" w:type="dxa"/>
            <w:tcBorders>
              <w:top w:val="single" w:sz="6" w:space="0" w:color="auto"/>
              <w:left w:val="single" w:sz="6" w:space="0" w:color="auto"/>
              <w:bottom w:val="single" w:sz="6" w:space="0" w:color="auto"/>
              <w:right w:val="single" w:sz="6" w:space="0" w:color="auto"/>
            </w:tcBorders>
          </w:tcPr>
          <w:p w14:paraId="17B4C40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2,860</w:t>
            </w:r>
          </w:p>
        </w:tc>
      </w:tr>
    </w:tbl>
    <w:p w14:paraId="1B0FB715" w14:textId="64D3A1FC" w:rsidR="00537CE6"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103</w:t>
      </w:r>
      <w:r w:rsidRPr="00392E0D">
        <w:rPr>
          <w:rFonts w:cs="Arial"/>
        </w:rPr>
        <w:fldChar w:fldCharType="end"/>
      </w:r>
      <w:r w:rsidRPr="00392E0D">
        <w:rPr>
          <w:rFonts w:cs="Arial"/>
        </w:rPr>
        <w:tab/>
      </w:r>
      <w:r w:rsidR="00537CE6" w:rsidRPr="00392E0D">
        <w:rPr>
          <w:rFonts w:eastAsiaTheme="minorHAnsi" w:cs="Arial"/>
          <w:lang w:val="en-AU"/>
        </w:rPr>
        <w:t>Northern Territory trends (2009 – 2021) – Communication skills and general knowledge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537CE6" w:rsidRPr="00392E0D" w14:paraId="6D41BB3C" w14:textId="77777777" w:rsidTr="006D110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6379F6C1" w14:textId="77777777" w:rsidR="00537CE6" w:rsidRPr="00392E0D" w:rsidRDefault="00537CE6"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58FC230D" w14:textId="6C8B900D"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5BD99ADD" w14:textId="5A34D26E"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4616F4C4" w14:textId="51C8D810"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79B8CCEE" w14:textId="5BF393A7"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419ABC79" w14:textId="4DC20B8A"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683D4B17" w14:textId="75B5A6AF" w:rsidR="00537CE6"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537CE6"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1276A918" w14:textId="13C3B82F" w:rsidR="00537CE6"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537CE6" w:rsidRPr="00392E0D" w14:paraId="721A91DE"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DB8CB8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0564047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1,919</w:t>
            </w:r>
          </w:p>
        </w:tc>
        <w:tc>
          <w:tcPr>
            <w:tcW w:w="1343" w:type="dxa"/>
            <w:tcBorders>
              <w:top w:val="single" w:sz="6" w:space="0" w:color="auto"/>
              <w:left w:val="single" w:sz="6" w:space="0" w:color="auto"/>
              <w:bottom w:val="single" w:sz="6" w:space="0" w:color="auto"/>
              <w:right w:val="single" w:sz="6" w:space="0" w:color="auto"/>
            </w:tcBorders>
          </w:tcPr>
          <w:p w14:paraId="690CBCB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64.5</w:t>
            </w:r>
          </w:p>
        </w:tc>
        <w:tc>
          <w:tcPr>
            <w:tcW w:w="1344" w:type="dxa"/>
            <w:tcBorders>
              <w:top w:val="single" w:sz="6" w:space="0" w:color="auto"/>
              <w:left w:val="single" w:sz="6" w:space="0" w:color="auto"/>
              <w:bottom w:val="single" w:sz="6" w:space="0" w:color="auto"/>
              <w:right w:val="single" w:sz="6" w:space="0" w:color="auto"/>
            </w:tcBorders>
          </w:tcPr>
          <w:p w14:paraId="28B1D1F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557</w:t>
            </w:r>
          </w:p>
        </w:tc>
        <w:tc>
          <w:tcPr>
            <w:tcW w:w="1343" w:type="dxa"/>
            <w:tcBorders>
              <w:top w:val="single" w:sz="6" w:space="0" w:color="auto"/>
              <w:left w:val="single" w:sz="6" w:space="0" w:color="auto"/>
              <w:bottom w:val="single" w:sz="6" w:space="0" w:color="auto"/>
              <w:right w:val="single" w:sz="6" w:space="0" w:color="auto"/>
            </w:tcBorders>
          </w:tcPr>
          <w:p w14:paraId="48D0BDC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18.7</w:t>
            </w:r>
          </w:p>
        </w:tc>
        <w:tc>
          <w:tcPr>
            <w:tcW w:w="1344" w:type="dxa"/>
            <w:tcBorders>
              <w:top w:val="single" w:sz="6" w:space="0" w:color="auto"/>
              <w:left w:val="single" w:sz="6" w:space="0" w:color="auto"/>
              <w:bottom w:val="single" w:sz="6" w:space="0" w:color="auto"/>
              <w:right w:val="single" w:sz="6" w:space="0" w:color="auto"/>
            </w:tcBorders>
          </w:tcPr>
          <w:p w14:paraId="0B0C8AD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500</w:t>
            </w:r>
          </w:p>
        </w:tc>
        <w:tc>
          <w:tcPr>
            <w:tcW w:w="1343" w:type="dxa"/>
            <w:tcBorders>
              <w:top w:val="single" w:sz="6" w:space="0" w:color="auto"/>
              <w:left w:val="single" w:sz="6" w:space="0" w:color="auto"/>
              <w:bottom w:val="single" w:sz="6" w:space="0" w:color="auto"/>
              <w:right w:val="single" w:sz="6" w:space="0" w:color="auto"/>
            </w:tcBorders>
          </w:tcPr>
          <w:p w14:paraId="7B36A83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16.8</w:t>
            </w:r>
          </w:p>
        </w:tc>
        <w:tc>
          <w:tcPr>
            <w:tcW w:w="1344" w:type="dxa"/>
            <w:tcBorders>
              <w:top w:val="single" w:sz="6" w:space="0" w:color="auto"/>
              <w:left w:val="single" w:sz="6" w:space="0" w:color="auto"/>
              <w:bottom w:val="single" w:sz="6" w:space="0" w:color="auto"/>
              <w:right w:val="single" w:sz="6" w:space="0" w:color="auto"/>
            </w:tcBorders>
          </w:tcPr>
          <w:p w14:paraId="7ADFADC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2,976</w:t>
            </w:r>
          </w:p>
        </w:tc>
      </w:tr>
      <w:tr w:rsidR="00537CE6" w:rsidRPr="00392E0D" w14:paraId="48280FEE"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05AE51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3A145FE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2,124</w:t>
            </w:r>
          </w:p>
        </w:tc>
        <w:tc>
          <w:tcPr>
            <w:tcW w:w="1343" w:type="dxa"/>
            <w:tcBorders>
              <w:top w:val="single" w:sz="6" w:space="0" w:color="auto"/>
              <w:left w:val="single" w:sz="6" w:space="0" w:color="auto"/>
              <w:bottom w:val="single" w:sz="6" w:space="0" w:color="auto"/>
              <w:right w:val="single" w:sz="6" w:space="0" w:color="auto"/>
            </w:tcBorders>
          </w:tcPr>
          <w:p w14:paraId="3AB0F17F"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66.5</w:t>
            </w:r>
          </w:p>
        </w:tc>
        <w:tc>
          <w:tcPr>
            <w:tcW w:w="1344" w:type="dxa"/>
            <w:tcBorders>
              <w:top w:val="single" w:sz="6" w:space="0" w:color="auto"/>
              <w:left w:val="single" w:sz="6" w:space="0" w:color="auto"/>
              <w:bottom w:val="single" w:sz="6" w:space="0" w:color="auto"/>
              <w:right w:val="single" w:sz="6" w:space="0" w:color="auto"/>
            </w:tcBorders>
          </w:tcPr>
          <w:p w14:paraId="312D7AAA"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537</w:t>
            </w:r>
          </w:p>
        </w:tc>
        <w:tc>
          <w:tcPr>
            <w:tcW w:w="1343" w:type="dxa"/>
            <w:tcBorders>
              <w:top w:val="single" w:sz="6" w:space="0" w:color="auto"/>
              <w:left w:val="single" w:sz="6" w:space="0" w:color="auto"/>
              <w:bottom w:val="single" w:sz="6" w:space="0" w:color="auto"/>
              <w:right w:val="single" w:sz="6" w:space="0" w:color="auto"/>
            </w:tcBorders>
          </w:tcPr>
          <w:p w14:paraId="38C7AA5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16.8</w:t>
            </w:r>
          </w:p>
        </w:tc>
        <w:tc>
          <w:tcPr>
            <w:tcW w:w="1344" w:type="dxa"/>
            <w:tcBorders>
              <w:top w:val="single" w:sz="6" w:space="0" w:color="auto"/>
              <w:left w:val="single" w:sz="6" w:space="0" w:color="auto"/>
              <w:bottom w:val="single" w:sz="6" w:space="0" w:color="auto"/>
              <w:right w:val="single" w:sz="6" w:space="0" w:color="auto"/>
            </w:tcBorders>
          </w:tcPr>
          <w:p w14:paraId="5EDDC81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532</w:t>
            </w:r>
          </w:p>
        </w:tc>
        <w:tc>
          <w:tcPr>
            <w:tcW w:w="1343" w:type="dxa"/>
            <w:tcBorders>
              <w:top w:val="single" w:sz="6" w:space="0" w:color="auto"/>
              <w:left w:val="single" w:sz="6" w:space="0" w:color="auto"/>
              <w:bottom w:val="single" w:sz="6" w:space="0" w:color="auto"/>
              <w:right w:val="single" w:sz="6" w:space="0" w:color="auto"/>
            </w:tcBorders>
          </w:tcPr>
          <w:p w14:paraId="7D52961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16.7</w:t>
            </w:r>
          </w:p>
        </w:tc>
        <w:tc>
          <w:tcPr>
            <w:tcW w:w="1344" w:type="dxa"/>
            <w:tcBorders>
              <w:top w:val="single" w:sz="6" w:space="0" w:color="auto"/>
              <w:left w:val="single" w:sz="6" w:space="0" w:color="auto"/>
              <w:bottom w:val="single" w:sz="6" w:space="0" w:color="auto"/>
              <w:right w:val="single" w:sz="6" w:space="0" w:color="auto"/>
            </w:tcBorders>
          </w:tcPr>
          <w:p w14:paraId="6455BC5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3,193</w:t>
            </w:r>
          </w:p>
        </w:tc>
      </w:tr>
      <w:tr w:rsidR="00537CE6" w:rsidRPr="00392E0D" w14:paraId="4570796E"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43F7F6A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1ABD37D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2,180</w:t>
            </w:r>
          </w:p>
        </w:tc>
        <w:tc>
          <w:tcPr>
            <w:tcW w:w="1343" w:type="dxa"/>
            <w:tcBorders>
              <w:top w:val="single" w:sz="6" w:space="0" w:color="auto"/>
              <w:left w:val="single" w:sz="6" w:space="0" w:color="auto"/>
              <w:bottom w:val="single" w:sz="6" w:space="0" w:color="auto"/>
              <w:right w:val="single" w:sz="6" w:space="0" w:color="auto"/>
            </w:tcBorders>
          </w:tcPr>
          <w:p w14:paraId="6812D85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66.7</w:t>
            </w:r>
          </w:p>
        </w:tc>
        <w:tc>
          <w:tcPr>
            <w:tcW w:w="1344" w:type="dxa"/>
            <w:tcBorders>
              <w:top w:val="single" w:sz="6" w:space="0" w:color="auto"/>
              <w:left w:val="single" w:sz="6" w:space="0" w:color="auto"/>
              <w:bottom w:val="single" w:sz="6" w:space="0" w:color="auto"/>
              <w:right w:val="single" w:sz="6" w:space="0" w:color="auto"/>
            </w:tcBorders>
          </w:tcPr>
          <w:p w14:paraId="3601664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557</w:t>
            </w:r>
          </w:p>
        </w:tc>
        <w:tc>
          <w:tcPr>
            <w:tcW w:w="1343" w:type="dxa"/>
            <w:tcBorders>
              <w:top w:val="single" w:sz="6" w:space="0" w:color="auto"/>
              <w:left w:val="single" w:sz="6" w:space="0" w:color="auto"/>
              <w:bottom w:val="single" w:sz="6" w:space="0" w:color="auto"/>
              <w:right w:val="single" w:sz="6" w:space="0" w:color="auto"/>
            </w:tcBorders>
          </w:tcPr>
          <w:p w14:paraId="6EBD9D3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17.0</w:t>
            </w:r>
          </w:p>
        </w:tc>
        <w:tc>
          <w:tcPr>
            <w:tcW w:w="1344" w:type="dxa"/>
            <w:tcBorders>
              <w:top w:val="single" w:sz="6" w:space="0" w:color="auto"/>
              <w:left w:val="single" w:sz="6" w:space="0" w:color="auto"/>
              <w:bottom w:val="single" w:sz="6" w:space="0" w:color="auto"/>
              <w:right w:val="single" w:sz="6" w:space="0" w:color="auto"/>
            </w:tcBorders>
          </w:tcPr>
          <w:p w14:paraId="7B461921"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530</w:t>
            </w:r>
          </w:p>
        </w:tc>
        <w:tc>
          <w:tcPr>
            <w:tcW w:w="1343" w:type="dxa"/>
            <w:tcBorders>
              <w:top w:val="single" w:sz="6" w:space="0" w:color="auto"/>
              <w:left w:val="single" w:sz="6" w:space="0" w:color="auto"/>
              <w:bottom w:val="single" w:sz="6" w:space="0" w:color="auto"/>
              <w:right w:val="single" w:sz="6" w:space="0" w:color="auto"/>
            </w:tcBorders>
          </w:tcPr>
          <w:p w14:paraId="4B3EFD73"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c>
          <w:tcPr>
            <w:tcW w:w="1344" w:type="dxa"/>
            <w:tcBorders>
              <w:top w:val="single" w:sz="6" w:space="0" w:color="auto"/>
              <w:left w:val="single" w:sz="6" w:space="0" w:color="auto"/>
              <w:bottom w:val="single" w:sz="6" w:space="0" w:color="auto"/>
              <w:right w:val="single" w:sz="6" w:space="0" w:color="auto"/>
            </w:tcBorders>
          </w:tcPr>
          <w:p w14:paraId="4A8E055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3,267</w:t>
            </w:r>
          </w:p>
        </w:tc>
      </w:tr>
      <w:tr w:rsidR="00537CE6" w:rsidRPr="00392E0D" w14:paraId="216DFE32"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6EF571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26ECD6F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2,150</w:t>
            </w:r>
          </w:p>
        </w:tc>
        <w:tc>
          <w:tcPr>
            <w:tcW w:w="1343" w:type="dxa"/>
            <w:tcBorders>
              <w:top w:val="single" w:sz="6" w:space="0" w:color="auto"/>
              <w:left w:val="single" w:sz="6" w:space="0" w:color="auto"/>
              <w:bottom w:val="single" w:sz="6" w:space="0" w:color="auto"/>
              <w:right w:val="single" w:sz="6" w:space="0" w:color="auto"/>
            </w:tcBorders>
          </w:tcPr>
          <w:p w14:paraId="66FE76E6"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68.4</w:t>
            </w:r>
          </w:p>
        </w:tc>
        <w:tc>
          <w:tcPr>
            <w:tcW w:w="1344" w:type="dxa"/>
            <w:tcBorders>
              <w:top w:val="single" w:sz="6" w:space="0" w:color="auto"/>
              <w:left w:val="single" w:sz="6" w:space="0" w:color="auto"/>
              <w:bottom w:val="single" w:sz="6" w:space="0" w:color="auto"/>
              <w:right w:val="single" w:sz="6" w:space="0" w:color="auto"/>
            </w:tcBorders>
          </w:tcPr>
          <w:p w14:paraId="4B243AD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538</w:t>
            </w:r>
          </w:p>
        </w:tc>
        <w:tc>
          <w:tcPr>
            <w:tcW w:w="1343" w:type="dxa"/>
            <w:tcBorders>
              <w:top w:val="single" w:sz="6" w:space="0" w:color="auto"/>
              <w:left w:val="single" w:sz="6" w:space="0" w:color="auto"/>
              <w:bottom w:val="single" w:sz="6" w:space="0" w:color="auto"/>
              <w:right w:val="single" w:sz="6" w:space="0" w:color="auto"/>
            </w:tcBorders>
          </w:tcPr>
          <w:p w14:paraId="47F2D394"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17.1</w:t>
            </w:r>
          </w:p>
        </w:tc>
        <w:tc>
          <w:tcPr>
            <w:tcW w:w="1344" w:type="dxa"/>
            <w:tcBorders>
              <w:top w:val="single" w:sz="6" w:space="0" w:color="auto"/>
              <w:left w:val="single" w:sz="6" w:space="0" w:color="auto"/>
              <w:bottom w:val="single" w:sz="6" w:space="0" w:color="auto"/>
              <w:right w:val="single" w:sz="6" w:space="0" w:color="auto"/>
            </w:tcBorders>
          </w:tcPr>
          <w:p w14:paraId="49AB9D7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454</w:t>
            </w:r>
          </w:p>
        </w:tc>
        <w:tc>
          <w:tcPr>
            <w:tcW w:w="1343" w:type="dxa"/>
            <w:tcBorders>
              <w:top w:val="single" w:sz="6" w:space="0" w:color="auto"/>
              <w:left w:val="single" w:sz="6" w:space="0" w:color="auto"/>
              <w:bottom w:val="single" w:sz="6" w:space="0" w:color="auto"/>
              <w:right w:val="single" w:sz="6" w:space="0" w:color="auto"/>
            </w:tcBorders>
          </w:tcPr>
          <w:p w14:paraId="57C3FF98"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14.4</w:t>
            </w:r>
          </w:p>
        </w:tc>
        <w:tc>
          <w:tcPr>
            <w:tcW w:w="1344" w:type="dxa"/>
            <w:tcBorders>
              <w:top w:val="single" w:sz="6" w:space="0" w:color="auto"/>
              <w:left w:val="single" w:sz="6" w:space="0" w:color="auto"/>
              <w:bottom w:val="single" w:sz="6" w:space="0" w:color="auto"/>
              <w:right w:val="single" w:sz="6" w:space="0" w:color="auto"/>
            </w:tcBorders>
          </w:tcPr>
          <w:p w14:paraId="15315A9D"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3,142</w:t>
            </w:r>
          </w:p>
        </w:tc>
      </w:tr>
      <w:tr w:rsidR="00537CE6" w:rsidRPr="00392E0D" w14:paraId="115DD015"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3BD90BE"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6A6694E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1,886</w:t>
            </w:r>
          </w:p>
        </w:tc>
        <w:tc>
          <w:tcPr>
            <w:tcW w:w="1343" w:type="dxa"/>
            <w:tcBorders>
              <w:top w:val="single" w:sz="6" w:space="0" w:color="auto"/>
              <w:left w:val="single" w:sz="6" w:space="0" w:color="auto"/>
              <w:bottom w:val="single" w:sz="6" w:space="0" w:color="auto"/>
              <w:right w:val="single" w:sz="6" w:space="0" w:color="auto"/>
            </w:tcBorders>
          </w:tcPr>
          <w:p w14:paraId="7C6C2202"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65.2</w:t>
            </w:r>
          </w:p>
        </w:tc>
        <w:tc>
          <w:tcPr>
            <w:tcW w:w="1344" w:type="dxa"/>
            <w:tcBorders>
              <w:top w:val="single" w:sz="6" w:space="0" w:color="auto"/>
              <w:left w:val="single" w:sz="6" w:space="0" w:color="auto"/>
              <w:bottom w:val="single" w:sz="6" w:space="0" w:color="auto"/>
              <w:right w:val="single" w:sz="6" w:space="0" w:color="auto"/>
            </w:tcBorders>
          </w:tcPr>
          <w:p w14:paraId="5B61A5BB"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500</w:t>
            </w:r>
          </w:p>
        </w:tc>
        <w:tc>
          <w:tcPr>
            <w:tcW w:w="1343" w:type="dxa"/>
            <w:tcBorders>
              <w:top w:val="single" w:sz="6" w:space="0" w:color="auto"/>
              <w:left w:val="single" w:sz="6" w:space="0" w:color="auto"/>
              <w:bottom w:val="single" w:sz="6" w:space="0" w:color="auto"/>
              <w:right w:val="single" w:sz="6" w:space="0" w:color="auto"/>
            </w:tcBorders>
          </w:tcPr>
          <w:p w14:paraId="4C1FCC47"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17.3</w:t>
            </w:r>
          </w:p>
        </w:tc>
        <w:tc>
          <w:tcPr>
            <w:tcW w:w="1344" w:type="dxa"/>
            <w:tcBorders>
              <w:top w:val="single" w:sz="6" w:space="0" w:color="auto"/>
              <w:left w:val="single" w:sz="6" w:space="0" w:color="auto"/>
              <w:bottom w:val="single" w:sz="6" w:space="0" w:color="auto"/>
              <w:right w:val="single" w:sz="6" w:space="0" w:color="auto"/>
            </w:tcBorders>
          </w:tcPr>
          <w:p w14:paraId="7AEC955C"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507</w:t>
            </w:r>
          </w:p>
        </w:tc>
        <w:tc>
          <w:tcPr>
            <w:tcW w:w="1343" w:type="dxa"/>
            <w:tcBorders>
              <w:top w:val="single" w:sz="6" w:space="0" w:color="auto"/>
              <w:left w:val="single" w:sz="6" w:space="0" w:color="auto"/>
              <w:bottom w:val="single" w:sz="6" w:space="0" w:color="auto"/>
              <w:right w:val="single" w:sz="6" w:space="0" w:color="auto"/>
            </w:tcBorders>
          </w:tcPr>
          <w:p w14:paraId="612AD4E5"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w:t>
            </w:r>
          </w:p>
        </w:tc>
        <w:tc>
          <w:tcPr>
            <w:tcW w:w="1344" w:type="dxa"/>
            <w:tcBorders>
              <w:top w:val="single" w:sz="6" w:space="0" w:color="auto"/>
              <w:left w:val="single" w:sz="6" w:space="0" w:color="auto"/>
              <w:bottom w:val="single" w:sz="6" w:space="0" w:color="auto"/>
              <w:right w:val="single" w:sz="6" w:space="0" w:color="auto"/>
            </w:tcBorders>
          </w:tcPr>
          <w:p w14:paraId="43363360" w14:textId="77777777" w:rsidR="00537CE6" w:rsidRPr="00392E0D" w:rsidRDefault="00537CE6" w:rsidP="00537CE6">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2,893</w:t>
            </w:r>
          </w:p>
        </w:tc>
      </w:tr>
    </w:tbl>
    <w:p w14:paraId="1C1FE94E" w14:textId="77777777" w:rsidR="007D1CBD" w:rsidRPr="00392E0D" w:rsidRDefault="007D1CBD">
      <w:pPr>
        <w:widowControl/>
        <w:autoSpaceDE/>
        <w:autoSpaceDN/>
        <w:rPr>
          <w:rFonts w:ascii="Arial" w:eastAsia="Times New Roman" w:hAnsi="Arial" w:cs="Arial"/>
          <w:sz w:val="20"/>
          <w:szCs w:val="20"/>
        </w:rPr>
      </w:pPr>
      <w:r w:rsidRPr="00392E0D">
        <w:rPr>
          <w:rFonts w:ascii="Arial" w:hAnsi="Arial" w:cs="Arial"/>
          <w:sz w:val="20"/>
        </w:rPr>
        <w:br w:type="page"/>
      </w:r>
    </w:p>
    <w:p w14:paraId="1BE47999" w14:textId="6EF6E49E" w:rsidR="00537CE6" w:rsidRPr="00392E0D" w:rsidRDefault="007D1CBD" w:rsidP="007D1CBD">
      <w:pPr>
        <w:pStyle w:val="Heading2"/>
        <w:rPr>
          <w:rFonts w:cs="Arial"/>
        </w:rPr>
      </w:pPr>
      <w:r w:rsidRPr="00392E0D">
        <w:rPr>
          <w:rFonts w:cs="Arial"/>
        </w:rPr>
        <w:lastRenderedPageBreak/>
        <w:t>Australian Capital Territory trends</w:t>
      </w:r>
    </w:p>
    <w:p w14:paraId="3C8A027F" w14:textId="1DE5EA44" w:rsidR="007D1CBD"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104</w:t>
      </w:r>
      <w:r w:rsidRPr="00392E0D">
        <w:rPr>
          <w:rFonts w:cs="Arial"/>
        </w:rPr>
        <w:fldChar w:fldCharType="end"/>
      </w:r>
      <w:r w:rsidRPr="00392E0D">
        <w:rPr>
          <w:rFonts w:cs="Arial"/>
        </w:rPr>
        <w:tab/>
      </w:r>
      <w:r w:rsidRPr="00392E0D">
        <w:rPr>
          <w:rFonts w:eastAsiaTheme="minorHAnsi" w:cs="Arial"/>
          <w:lang w:val="en-AU"/>
        </w:rPr>
        <w:t>Australian Capital Territory trends (2009 – 2021) – Developmentally vulnerable on one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7D1CBD" w:rsidRPr="00392E0D" w14:paraId="774F18FD" w14:textId="77777777" w:rsidTr="006D110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35EB142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1670652C" w14:textId="0FA2B2A1"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70E61662" w14:textId="2FE374E9" w:rsidR="007D1CBD" w:rsidRPr="00392E0D" w:rsidRDefault="00513B7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45F59FCB" w14:textId="2A9DF58D"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2AF96742"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07EA4E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05885F6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1,474</w:t>
            </w:r>
          </w:p>
        </w:tc>
        <w:tc>
          <w:tcPr>
            <w:tcW w:w="974" w:type="dxa"/>
            <w:tcBorders>
              <w:top w:val="single" w:sz="6" w:space="0" w:color="auto"/>
              <w:left w:val="single" w:sz="6" w:space="0" w:color="auto"/>
              <w:bottom w:val="single" w:sz="6" w:space="0" w:color="auto"/>
              <w:right w:val="single" w:sz="6" w:space="0" w:color="auto"/>
            </w:tcBorders>
          </w:tcPr>
          <w:p w14:paraId="5BC18C9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26.7</w:t>
            </w:r>
          </w:p>
        </w:tc>
        <w:tc>
          <w:tcPr>
            <w:tcW w:w="975" w:type="dxa"/>
            <w:tcBorders>
              <w:top w:val="single" w:sz="6" w:space="0" w:color="auto"/>
              <w:left w:val="single" w:sz="6" w:space="0" w:color="auto"/>
              <w:bottom w:val="single" w:sz="6" w:space="0" w:color="auto"/>
              <w:right w:val="single" w:sz="6" w:space="0" w:color="auto"/>
            </w:tcBorders>
          </w:tcPr>
          <w:p w14:paraId="2B3BA5A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5,521</w:t>
            </w:r>
          </w:p>
        </w:tc>
      </w:tr>
      <w:tr w:rsidR="007D1CBD" w:rsidRPr="00392E0D" w14:paraId="02E39542"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CFB225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096276B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1,350</w:t>
            </w:r>
          </w:p>
        </w:tc>
        <w:tc>
          <w:tcPr>
            <w:tcW w:w="974" w:type="dxa"/>
            <w:tcBorders>
              <w:top w:val="single" w:sz="6" w:space="0" w:color="auto"/>
              <w:left w:val="single" w:sz="6" w:space="0" w:color="auto"/>
              <w:bottom w:val="single" w:sz="6" w:space="0" w:color="auto"/>
              <w:right w:val="single" w:sz="6" w:space="0" w:color="auto"/>
            </w:tcBorders>
          </w:tcPr>
          <w:p w14:paraId="2171536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24.6</w:t>
            </w:r>
          </w:p>
        </w:tc>
        <w:tc>
          <w:tcPr>
            <w:tcW w:w="975" w:type="dxa"/>
            <w:tcBorders>
              <w:top w:val="single" w:sz="6" w:space="0" w:color="auto"/>
              <w:left w:val="single" w:sz="6" w:space="0" w:color="auto"/>
              <w:bottom w:val="single" w:sz="6" w:space="0" w:color="auto"/>
              <w:right w:val="single" w:sz="6" w:space="0" w:color="auto"/>
            </w:tcBorders>
          </w:tcPr>
          <w:p w14:paraId="13985E3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5,482</w:t>
            </w:r>
          </w:p>
        </w:tc>
      </w:tr>
      <w:tr w:rsidR="007D1CBD" w:rsidRPr="00392E0D" w14:paraId="76150A37"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6FE1A9D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3F3D850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1,161</w:t>
            </w:r>
          </w:p>
        </w:tc>
        <w:tc>
          <w:tcPr>
            <w:tcW w:w="974" w:type="dxa"/>
            <w:tcBorders>
              <w:top w:val="single" w:sz="6" w:space="0" w:color="auto"/>
              <w:left w:val="single" w:sz="6" w:space="0" w:color="auto"/>
              <w:bottom w:val="single" w:sz="6" w:space="0" w:color="auto"/>
              <w:right w:val="single" w:sz="6" w:space="0" w:color="auto"/>
            </w:tcBorders>
          </w:tcPr>
          <w:p w14:paraId="3625724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22.5</w:t>
            </w:r>
          </w:p>
        </w:tc>
        <w:tc>
          <w:tcPr>
            <w:tcW w:w="975" w:type="dxa"/>
            <w:tcBorders>
              <w:top w:val="single" w:sz="6" w:space="0" w:color="auto"/>
              <w:left w:val="single" w:sz="6" w:space="0" w:color="auto"/>
              <w:bottom w:val="single" w:sz="6" w:space="0" w:color="auto"/>
              <w:right w:val="single" w:sz="6" w:space="0" w:color="auto"/>
            </w:tcBorders>
          </w:tcPr>
          <w:p w14:paraId="559DD69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5,157</w:t>
            </w:r>
          </w:p>
        </w:tc>
      </w:tr>
      <w:tr w:rsidR="007D1CBD" w:rsidRPr="00392E0D" w14:paraId="2552F569"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2035E40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4E78D64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1,010</w:t>
            </w:r>
          </w:p>
        </w:tc>
        <w:tc>
          <w:tcPr>
            <w:tcW w:w="974" w:type="dxa"/>
            <w:tcBorders>
              <w:top w:val="single" w:sz="6" w:space="0" w:color="auto"/>
              <w:left w:val="single" w:sz="6" w:space="0" w:color="auto"/>
              <w:bottom w:val="single" w:sz="6" w:space="0" w:color="auto"/>
              <w:right w:val="single" w:sz="6" w:space="0" w:color="auto"/>
            </w:tcBorders>
          </w:tcPr>
          <w:p w14:paraId="0CC21CF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22.0</w:t>
            </w:r>
          </w:p>
        </w:tc>
        <w:tc>
          <w:tcPr>
            <w:tcW w:w="975" w:type="dxa"/>
            <w:tcBorders>
              <w:top w:val="single" w:sz="6" w:space="0" w:color="auto"/>
              <w:left w:val="single" w:sz="6" w:space="0" w:color="auto"/>
              <w:bottom w:val="single" w:sz="6" w:space="0" w:color="auto"/>
              <w:right w:val="single" w:sz="6" w:space="0" w:color="auto"/>
            </w:tcBorders>
          </w:tcPr>
          <w:p w14:paraId="0DDD22A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4,594</w:t>
            </w:r>
          </w:p>
        </w:tc>
      </w:tr>
      <w:tr w:rsidR="007D1CBD" w:rsidRPr="00392E0D" w14:paraId="2DB23C55"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7A9D8BA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090406C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927</w:t>
            </w:r>
          </w:p>
        </w:tc>
        <w:tc>
          <w:tcPr>
            <w:tcW w:w="974" w:type="dxa"/>
            <w:tcBorders>
              <w:top w:val="single" w:sz="6" w:space="0" w:color="auto"/>
              <w:left w:val="single" w:sz="6" w:space="0" w:color="auto"/>
              <w:bottom w:val="single" w:sz="6" w:space="0" w:color="auto"/>
              <w:right w:val="single" w:sz="6" w:space="0" w:color="auto"/>
            </w:tcBorders>
          </w:tcPr>
          <w:p w14:paraId="7A83AF5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22.2</w:t>
            </w:r>
          </w:p>
        </w:tc>
        <w:tc>
          <w:tcPr>
            <w:tcW w:w="975" w:type="dxa"/>
            <w:tcBorders>
              <w:top w:val="single" w:sz="6" w:space="0" w:color="auto"/>
              <w:left w:val="single" w:sz="6" w:space="0" w:color="auto"/>
              <w:bottom w:val="single" w:sz="6" w:space="0" w:color="auto"/>
              <w:right w:val="single" w:sz="6" w:space="0" w:color="auto"/>
            </w:tcBorders>
          </w:tcPr>
          <w:p w14:paraId="28E99FC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4,180</w:t>
            </w:r>
          </w:p>
        </w:tc>
      </w:tr>
    </w:tbl>
    <w:p w14:paraId="69CE8930" w14:textId="53147D27" w:rsidR="007D1CBD"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105</w:t>
      </w:r>
      <w:r w:rsidRPr="00392E0D">
        <w:rPr>
          <w:rFonts w:cs="Arial"/>
        </w:rPr>
        <w:fldChar w:fldCharType="end"/>
      </w:r>
      <w:r w:rsidRPr="00392E0D">
        <w:rPr>
          <w:rFonts w:cs="Arial"/>
        </w:rPr>
        <w:tab/>
      </w:r>
      <w:r w:rsidRPr="00392E0D">
        <w:rPr>
          <w:rFonts w:eastAsiaTheme="minorHAnsi" w:cs="Arial"/>
          <w:lang w:val="en-AU"/>
        </w:rPr>
        <w:t>Australian Capital Territory trends (2009 – 2021) – Developmentally vulnerable on two or more domains</w:t>
      </w:r>
    </w:p>
    <w:tbl>
      <w:tblPr>
        <w:tblW w:w="0" w:type="auto"/>
        <w:tblInd w:w="-38" w:type="dxa"/>
        <w:tblLayout w:type="fixed"/>
        <w:tblLook w:val="0000" w:firstRow="0" w:lastRow="0" w:firstColumn="0" w:lastColumn="0" w:noHBand="0" w:noVBand="0"/>
      </w:tblPr>
      <w:tblGrid>
        <w:gridCol w:w="974"/>
        <w:gridCol w:w="975"/>
        <w:gridCol w:w="974"/>
        <w:gridCol w:w="975"/>
      </w:tblGrid>
      <w:tr w:rsidR="007D1CBD" w:rsidRPr="00392E0D" w14:paraId="14273245" w14:textId="77777777" w:rsidTr="006D110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18A7C8E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77D28614" w14:textId="2495B5AB"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626EA766" w14:textId="2458B3E5" w:rsidR="007D1CBD" w:rsidRPr="00392E0D" w:rsidRDefault="00513B7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4A18D0E4" w14:textId="5FBB0D0E"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22F9D101"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EC039C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6F75C11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735</w:t>
            </w:r>
          </w:p>
        </w:tc>
        <w:tc>
          <w:tcPr>
            <w:tcW w:w="974" w:type="dxa"/>
            <w:tcBorders>
              <w:top w:val="single" w:sz="6" w:space="0" w:color="auto"/>
              <w:left w:val="single" w:sz="6" w:space="0" w:color="auto"/>
              <w:bottom w:val="single" w:sz="6" w:space="0" w:color="auto"/>
              <w:right w:val="single" w:sz="6" w:space="0" w:color="auto"/>
            </w:tcBorders>
          </w:tcPr>
          <w:p w14:paraId="137E615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13.3</w:t>
            </w:r>
          </w:p>
        </w:tc>
        <w:tc>
          <w:tcPr>
            <w:tcW w:w="975" w:type="dxa"/>
            <w:tcBorders>
              <w:top w:val="single" w:sz="6" w:space="0" w:color="auto"/>
              <w:left w:val="single" w:sz="6" w:space="0" w:color="auto"/>
              <w:bottom w:val="single" w:sz="6" w:space="0" w:color="auto"/>
              <w:right w:val="single" w:sz="6" w:space="0" w:color="auto"/>
            </w:tcBorders>
          </w:tcPr>
          <w:p w14:paraId="7269C89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5,532</w:t>
            </w:r>
          </w:p>
        </w:tc>
      </w:tr>
      <w:tr w:rsidR="007D1CBD" w:rsidRPr="00392E0D" w14:paraId="7E01A6CE"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64D3DCB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2EC7520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680</w:t>
            </w:r>
          </w:p>
        </w:tc>
        <w:tc>
          <w:tcPr>
            <w:tcW w:w="974" w:type="dxa"/>
            <w:tcBorders>
              <w:top w:val="single" w:sz="6" w:space="0" w:color="auto"/>
              <w:left w:val="single" w:sz="6" w:space="0" w:color="auto"/>
              <w:bottom w:val="single" w:sz="6" w:space="0" w:color="auto"/>
              <w:right w:val="single" w:sz="6" w:space="0" w:color="auto"/>
            </w:tcBorders>
          </w:tcPr>
          <w:p w14:paraId="2FA22EC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w:t>
            </w:r>
          </w:p>
        </w:tc>
        <w:tc>
          <w:tcPr>
            <w:tcW w:w="975" w:type="dxa"/>
            <w:tcBorders>
              <w:top w:val="single" w:sz="6" w:space="0" w:color="auto"/>
              <w:left w:val="single" w:sz="6" w:space="0" w:color="auto"/>
              <w:bottom w:val="single" w:sz="6" w:space="0" w:color="auto"/>
              <w:right w:val="single" w:sz="6" w:space="0" w:color="auto"/>
            </w:tcBorders>
          </w:tcPr>
          <w:p w14:paraId="7BE8910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5,481</w:t>
            </w:r>
          </w:p>
        </w:tc>
      </w:tr>
      <w:tr w:rsidR="007D1CBD" w:rsidRPr="00392E0D" w14:paraId="2C4EEE02"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206925D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7CDDB6C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531</w:t>
            </w:r>
          </w:p>
        </w:tc>
        <w:tc>
          <w:tcPr>
            <w:tcW w:w="974" w:type="dxa"/>
            <w:tcBorders>
              <w:top w:val="single" w:sz="6" w:space="0" w:color="auto"/>
              <w:left w:val="single" w:sz="6" w:space="0" w:color="auto"/>
              <w:bottom w:val="single" w:sz="6" w:space="0" w:color="auto"/>
              <w:right w:val="single" w:sz="6" w:space="0" w:color="auto"/>
            </w:tcBorders>
          </w:tcPr>
          <w:p w14:paraId="60BA761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10.3</w:t>
            </w:r>
          </w:p>
        </w:tc>
        <w:tc>
          <w:tcPr>
            <w:tcW w:w="975" w:type="dxa"/>
            <w:tcBorders>
              <w:top w:val="single" w:sz="6" w:space="0" w:color="auto"/>
              <w:left w:val="single" w:sz="6" w:space="0" w:color="auto"/>
              <w:bottom w:val="single" w:sz="6" w:space="0" w:color="auto"/>
              <w:right w:val="single" w:sz="6" w:space="0" w:color="auto"/>
            </w:tcBorders>
          </w:tcPr>
          <w:p w14:paraId="6C51435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5,158</w:t>
            </w:r>
          </w:p>
        </w:tc>
      </w:tr>
      <w:tr w:rsidR="007D1CBD" w:rsidRPr="00392E0D" w14:paraId="1D483639"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6B0D7D8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7F962DE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454</w:t>
            </w:r>
          </w:p>
        </w:tc>
        <w:tc>
          <w:tcPr>
            <w:tcW w:w="974" w:type="dxa"/>
            <w:tcBorders>
              <w:top w:val="single" w:sz="6" w:space="0" w:color="auto"/>
              <w:left w:val="single" w:sz="6" w:space="0" w:color="auto"/>
              <w:bottom w:val="single" w:sz="6" w:space="0" w:color="auto"/>
              <w:right w:val="single" w:sz="6" w:space="0" w:color="auto"/>
            </w:tcBorders>
          </w:tcPr>
          <w:p w14:paraId="3F6B48F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w:t>
            </w:r>
          </w:p>
        </w:tc>
        <w:tc>
          <w:tcPr>
            <w:tcW w:w="975" w:type="dxa"/>
            <w:tcBorders>
              <w:top w:val="single" w:sz="6" w:space="0" w:color="auto"/>
              <w:left w:val="single" w:sz="6" w:space="0" w:color="auto"/>
              <w:bottom w:val="single" w:sz="6" w:space="0" w:color="auto"/>
              <w:right w:val="single" w:sz="6" w:space="0" w:color="auto"/>
            </w:tcBorders>
          </w:tcPr>
          <w:p w14:paraId="11DBDE9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4,616</w:t>
            </w:r>
          </w:p>
        </w:tc>
      </w:tr>
      <w:tr w:rsidR="007D1CBD" w:rsidRPr="00392E0D" w14:paraId="150248D6" w14:textId="77777777" w:rsidTr="007D1CBD">
        <w:trPr>
          <w:trHeight w:val="296"/>
        </w:trPr>
        <w:tc>
          <w:tcPr>
            <w:tcW w:w="974" w:type="dxa"/>
            <w:tcBorders>
              <w:top w:val="single" w:sz="6" w:space="0" w:color="auto"/>
              <w:left w:val="single" w:sz="6" w:space="0" w:color="auto"/>
              <w:bottom w:val="single" w:sz="6" w:space="0" w:color="auto"/>
              <w:right w:val="single" w:sz="6" w:space="0" w:color="auto"/>
            </w:tcBorders>
          </w:tcPr>
          <w:p w14:paraId="7654F2F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33F9A16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456</w:t>
            </w:r>
          </w:p>
        </w:tc>
        <w:tc>
          <w:tcPr>
            <w:tcW w:w="974" w:type="dxa"/>
            <w:tcBorders>
              <w:top w:val="single" w:sz="6" w:space="0" w:color="auto"/>
              <w:left w:val="single" w:sz="6" w:space="0" w:color="auto"/>
              <w:bottom w:val="single" w:sz="6" w:space="0" w:color="auto"/>
              <w:right w:val="single" w:sz="6" w:space="0" w:color="auto"/>
            </w:tcBorders>
          </w:tcPr>
          <w:p w14:paraId="0AB2DFB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10.9</w:t>
            </w:r>
          </w:p>
        </w:tc>
        <w:tc>
          <w:tcPr>
            <w:tcW w:w="975" w:type="dxa"/>
            <w:tcBorders>
              <w:top w:val="single" w:sz="6" w:space="0" w:color="auto"/>
              <w:left w:val="single" w:sz="6" w:space="0" w:color="auto"/>
              <w:bottom w:val="single" w:sz="6" w:space="0" w:color="auto"/>
              <w:right w:val="single" w:sz="6" w:space="0" w:color="auto"/>
            </w:tcBorders>
          </w:tcPr>
          <w:p w14:paraId="0B3C3DE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4,190</w:t>
            </w:r>
          </w:p>
        </w:tc>
      </w:tr>
    </w:tbl>
    <w:p w14:paraId="0B13273C" w14:textId="36E5661B" w:rsidR="007D1CBD"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106</w:t>
      </w:r>
      <w:r w:rsidRPr="00392E0D">
        <w:rPr>
          <w:rFonts w:cs="Arial"/>
        </w:rPr>
        <w:fldChar w:fldCharType="end"/>
      </w:r>
      <w:r w:rsidRPr="00392E0D">
        <w:rPr>
          <w:rFonts w:cs="Arial"/>
        </w:rPr>
        <w:tab/>
      </w:r>
      <w:r w:rsidRPr="00392E0D">
        <w:rPr>
          <w:rFonts w:eastAsiaTheme="minorHAnsi" w:cs="Arial"/>
          <w:lang w:val="en-AU"/>
        </w:rPr>
        <w:t>Australian Capital Territory trends (2009 – 2021) – Developmentally on track on five domains</w:t>
      </w:r>
    </w:p>
    <w:tbl>
      <w:tblPr>
        <w:tblW w:w="0" w:type="auto"/>
        <w:tblInd w:w="-38" w:type="dxa"/>
        <w:tblLayout w:type="fixed"/>
        <w:tblLook w:val="0000" w:firstRow="0" w:lastRow="0" w:firstColumn="0" w:lastColumn="0" w:noHBand="0" w:noVBand="0"/>
      </w:tblPr>
      <w:tblGrid>
        <w:gridCol w:w="974"/>
        <w:gridCol w:w="975"/>
        <w:gridCol w:w="974"/>
        <w:gridCol w:w="975"/>
      </w:tblGrid>
      <w:tr w:rsidR="007D1CBD" w:rsidRPr="00392E0D" w14:paraId="3BCCC05D" w14:textId="77777777" w:rsidTr="006D1102">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0FC5653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975" w:type="dxa"/>
            <w:tcBorders>
              <w:top w:val="single" w:sz="6" w:space="0" w:color="auto"/>
              <w:left w:val="single" w:sz="6" w:space="0" w:color="auto"/>
              <w:bottom w:val="single" w:sz="6" w:space="0" w:color="auto"/>
              <w:right w:val="single" w:sz="6" w:space="0" w:color="auto"/>
            </w:tcBorders>
            <w:vAlign w:val="bottom"/>
          </w:tcPr>
          <w:p w14:paraId="22C93159" w14:textId="6B2517C8"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w:t>
            </w:r>
          </w:p>
        </w:tc>
        <w:tc>
          <w:tcPr>
            <w:tcW w:w="974" w:type="dxa"/>
            <w:tcBorders>
              <w:top w:val="single" w:sz="6" w:space="0" w:color="auto"/>
              <w:left w:val="single" w:sz="6" w:space="0" w:color="auto"/>
              <w:bottom w:val="single" w:sz="6" w:space="0" w:color="auto"/>
              <w:right w:val="single" w:sz="6" w:space="0" w:color="auto"/>
            </w:tcBorders>
            <w:vAlign w:val="bottom"/>
          </w:tcPr>
          <w:p w14:paraId="1B76DD8E" w14:textId="0A421DEA" w:rsidR="007D1CBD" w:rsidRPr="00392E0D" w:rsidRDefault="00513B7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t>
            </w:r>
          </w:p>
        </w:tc>
        <w:tc>
          <w:tcPr>
            <w:tcW w:w="975" w:type="dxa"/>
            <w:tcBorders>
              <w:top w:val="single" w:sz="6" w:space="0" w:color="auto"/>
              <w:left w:val="single" w:sz="6" w:space="0" w:color="auto"/>
              <w:bottom w:val="single" w:sz="6" w:space="0" w:color="auto"/>
              <w:right w:val="single" w:sz="6" w:space="0" w:color="auto"/>
            </w:tcBorders>
            <w:vAlign w:val="bottom"/>
          </w:tcPr>
          <w:p w14:paraId="3A1E493B" w14:textId="1CA478E9"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4682C259"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8FC787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975" w:type="dxa"/>
            <w:tcBorders>
              <w:top w:val="single" w:sz="6" w:space="0" w:color="auto"/>
              <w:left w:val="single" w:sz="6" w:space="0" w:color="auto"/>
              <w:bottom w:val="single" w:sz="6" w:space="0" w:color="auto"/>
              <w:right w:val="single" w:sz="6" w:space="0" w:color="auto"/>
            </w:tcBorders>
          </w:tcPr>
          <w:p w14:paraId="48A64E6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2,615</w:t>
            </w:r>
          </w:p>
        </w:tc>
        <w:tc>
          <w:tcPr>
            <w:tcW w:w="974" w:type="dxa"/>
            <w:tcBorders>
              <w:top w:val="single" w:sz="6" w:space="0" w:color="auto"/>
              <w:left w:val="single" w:sz="6" w:space="0" w:color="auto"/>
              <w:bottom w:val="single" w:sz="6" w:space="0" w:color="auto"/>
              <w:right w:val="single" w:sz="6" w:space="0" w:color="auto"/>
            </w:tcBorders>
          </w:tcPr>
          <w:p w14:paraId="2F1B028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47.3</w:t>
            </w:r>
          </w:p>
        </w:tc>
        <w:tc>
          <w:tcPr>
            <w:tcW w:w="975" w:type="dxa"/>
            <w:tcBorders>
              <w:top w:val="single" w:sz="6" w:space="0" w:color="auto"/>
              <w:left w:val="single" w:sz="6" w:space="0" w:color="auto"/>
              <w:bottom w:val="single" w:sz="6" w:space="0" w:color="auto"/>
              <w:right w:val="single" w:sz="6" w:space="0" w:color="auto"/>
            </w:tcBorders>
          </w:tcPr>
          <w:p w14:paraId="3A3D2D4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5,526</w:t>
            </w:r>
          </w:p>
        </w:tc>
      </w:tr>
      <w:tr w:rsidR="007D1CBD" w:rsidRPr="00392E0D" w14:paraId="0E748755"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21669EE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975" w:type="dxa"/>
            <w:tcBorders>
              <w:top w:val="single" w:sz="6" w:space="0" w:color="auto"/>
              <w:left w:val="single" w:sz="6" w:space="0" w:color="auto"/>
              <w:bottom w:val="single" w:sz="6" w:space="0" w:color="auto"/>
              <w:right w:val="single" w:sz="6" w:space="0" w:color="auto"/>
            </w:tcBorders>
          </w:tcPr>
          <w:p w14:paraId="78EBFF0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2,667</w:t>
            </w:r>
          </w:p>
        </w:tc>
        <w:tc>
          <w:tcPr>
            <w:tcW w:w="974" w:type="dxa"/>
            <w:tcBorders>
              <w:top w:val="single" w:sz="6" w:space="0" w:color="auto"/>
              <w:left w:val="single" w:sz="6" w:space="0" w:color="auto"/>
              <w:bottom w:val="single" w:sz="6" w:space="0" w:color="auto"/>
              <w:right w:val="single" w:sz="6" w:space="0" w:color="auto"/>
            </w:tcBorders>
          </w:tcPr>
          <w:p w14:paraId="10A499D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48.7</w:t>
            </w:r>
          </w:p>
        </w:tc>
        <w:tc>
          <w:tcPr>
            <w:tcW w:w="975" w:type="dxa"/>
            <w:tcBorders>
              <w:top w:val="single" w:sz="6" w:space="0" w:color="auto"/>
              <w:left w:val="single" w:sz="6" w:space="0" w:color="auto"/>
              <w:bottom w:val="single" w:sz="6" w:space="0" w:color="auto"/>
              <w:right w:val="single" w:sz="6" w:space="0" w:color="auto"/>
            </w:tcBorders>
          </w:tcPr>
          <w:p w14:paraId="15ADF01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5,482</w:t>
            </w:r>
          </w:p>
        </w:tc>
      </w:tr>
      <w:tr w:rsidR="007D1CBD" w:rsidRPr="00392E0D" w14:paraId="1C89FC02"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27787D2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975" w:type="dxa"/>
            <w:tcBorders>
              <w:top w:val="single" w:sz="6" w:space="0" w:color="auto"/>
              <w:left w:val="single" w:sz="6" w:space="0" w:color="auto"/>
              <w:bottom w:val="single" w:sz="6" w:space="0" w:color="auto"/>
              <w:right w:val="single" w:sz="6" w:space="0" w:color="auto"/>
            </w:tcBorders>
          </w:tcPr>
          <w:p w14:paraId="546620A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2,556</w:t>
            </w:r>
          </w:p>
        </w:tc>
        <w:tc>
          <w:tcPr>
            <w:tcW w:w="974" w:type="dxa"/>
            <w:tcBorders>
              <w:top w:val="single" w:sz="6" w:space="0" w:color="auto"/>
              <w:left w:val="single" w:sz="6" w:space="0" w:color="auto"/>
              <w:bottom w:val="single" w:sz="6" w:space="0" w:color="auto"/>
              <w:right w:val="single" w:sz="6" w:space="0" w:color="auto"/>
            </w:tcBorders>
          </w:tcPr>
          <w:p w14:paraId="6CFE83B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49.5</w:t>
            </w:r>
          </w:p>
        </w:tc>
        <w:tc>
          <w:tcPr>
            <w:tcW w:w="975" w:type="dxa"/>
            <w:tcBorders>
              <w:top w:val="single" w:sz="6" w:space="0" w:color="auto"/>
              <w:left w:val="single" w:sz="6" w:space="0" w:color="auto"/>
              <w:bottom w:val="single" w:sz="6" w:space="0" w:color="auto"/>
              <w:right w:val="single" w:sz="6" w:space="0" w:color="auto"/>
            </w:tcBorders>
          </w:tcPr>
          <w:p w14:paraId="7B0F413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5,161</w:t>
            </w:r>
          </w:p>
        </w:tc>
      </w:tr>
      <w:tr w:rsidR="007D1CBD" w:rsidRPr="00392E0D" w14:paraId="190D9204"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74959AE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975" w:type="dxa"/>
            <w:tcBorders>
              <w:top w:val="single" w:sz="6" w:space="0" w:color="auto"/>
              <w:left w:val="single" w:sz="6" w:space="0" w:color="auto"/>
              <w:bottom w:val="single" w:sz="6" w:space="0" w:color="auto"/>
              <w:right w:val="single" w:sz="6" w:space="0" w:color="auto"/>
            </w:tcBorders>
          </w:tcPr>
          <w:p w14:paraId="2A63DF3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2,332</w:t>
            </w:r>
          </w:p>
        </w:tc>
        <w:tc>
          <w:tcPr>
            <w:tcW w:w="974" w:type="dxa"/>
            <w:tcBorders>
              <w:top w:val="single" w:sz="6" w:space="0" w:color="auto"/>
              <w:left w:val="single" w:sz="6" w:space="0" w:color="auto"/>
              <w:bottom w:val="single" w:sz="6" w:space="0" w:color="auto"/>
              <w:right w:val="single" w:sz="6" w:space="0" w:color="auto"/>
            </w:tcBorders>
          </w:tcPr>
          <w:p w14:paraId="5477186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50.6</w:t>
            </w:r>
          </w:p>
        </w:tc>
        <w:tc>
          <w:tcPr>
            <w:tcW w:w="975" w:type="dxa"/>
            <w:tcBorders>
              <w:top w:val="single" w:sz="6" w:space="0" w:color="auto"/>
              <w:left w:val="single" w:sz="6" w:space="0" w:color="auto"/>
              <w:bottom w:val="single" w:sz="6" w:space="0" w:color="auto"/>
              <w:right w:val="single" w:sz="6" w:space="0" w:color="auto"/>
            </w:tcBorders>
          </w:tcPr>
          <w:p w14:paraId="77F0C01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4,611</w:t>
            </w:r>
          </w:p>
        </w:tc>
      </w:tr>
      <w:tr w:rsidR="007D1CBD" w:rsidRPr="00392E0D" w14:paraId="1D92CC1F"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8A7689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975" w:type="dxa"/>
            <w:tcBorders>
              <w:top w:val="single" w:sz="6" w:space="0" w:color="auto"/>
              <w:left w:val="single" w:sz="6" w:space="0" w:color="auto"/>
              <w:bottom w:val="single" w:sz="6" w:space="0" w:color="auto"/>
              <w:right w:val="single" w:sz="6" w:space="0" w:color="auto"/>
            </w:tcBorders>
          </w:tcPr>
          <w:p w14:paraId="09651B9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2,127</w:t>
            </w:r>
          </w:p>
        </w:tc>
        <w:tc>
          <w:tcPr>
            <w:tcW w:w="974" w:type="dxa"/>
            <w:tcBorders>
              <w:top w:val="single" w:sz="6" w:space="0" w:color="auto"/>
              <w:left w:val="single" w:sz="6" w:space="0" w:color="auto"/>
              <w:bottom w:val="single" w:sz="6" w:space="0" w:color="auto"/>
              <w:right w:val="single" w:sz="6" w:space="0" w:color="auto"/>
            </w:tcBorders>
          </w:tcPr>
          <w:p w14:paraId="06E121F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50.8</w:t>
            </w:r>
          </w:p>
        </w:tc>
        <w:tc>
          <w:tcPr>
            <w:tcW w:w="975" w:type="dxa"/>
            <w:tcBorders>
              <w:top w:val="single" w:sz="6" w:space="0" w:color="auto"/>
              <w:left w:val="single" w:sz="6" w:space="0" w:color="auto"/>
              <w:bottom w:val="single" w:sz="6" w:space="0" w:color="auto"/>
              <w:right w:val="single" w:sz="6" w:space="0" w:color="auto"/>
            </w:tcBorders>
          </w:tcPr>
          <w:p w14:paraId="05DFCE1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4,185</w:t>
            </w:r>
          </w:p>
        </w:tc>
      </w:tr>
    </w:tbl>
    <w:p w14:paraId="79BAAC3F" w14:textId="4EA2DB30" w:rsidR="007D1CBD"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107</w:t>
      </w:r>
      <w:r w:rsidRPr="00392E0D">
        <w:rPr>
          <w:rFonts w:cs="Arial"/>
        </w:rPr>
        <w:fldChar w:fldCharType="end"/>
      </w:r>
      <w:r w:rsidRPr="00392E0D">
        <w:rPr>
          <w:rFonts w:cs="Arial"/>
        </w:rPr>
        <w:tab/>
      </w:r>
      <w:r w:rsidRPr="00392E0D">
        <w:rPr>
          <w:rFonts w:eastAsiaTheme="minorHAnsi" w:cs="Arial"/>
          <w:lang w:val="en-AU"/>
        </w:rPr>
        <w:t>Australian Capital Territory trends (2009 – 2021) – Physical health and wellbeing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D1CBD" w:rsidRPr="00392E0D" w14:paraId="1075AEAB" w14:textId="77777777" w:rsidTr="006D110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7974867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0656F440" w14:textId="2CE5456B"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50E4E223" w14:textId="3918AD7A"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77C43CF7" w14:textId="3233F4D4"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3E63D148" w14:textId="69D74A7A"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1660933F" w14:textId="5769BB6F"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11FD946F" w14:textId="0DAE1722"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483410CF" w14:textId="00FEB8BF"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6B25BE2E" w14:textId="77777777" w:rsidTr="007D1CBD">
        <w:trPr>
          <w:trHeight w:val="311"/>
        </w:trPr>
        <w:tc>
          <w:tcPr>
            <w:tcW w:w="974" w:type="dxa"/>
            <w:tcBorders>
              <w:top w:val="single" w:sz="6" w:space="0" w:color="auto"/>
              <w:left w:val="single" w:sz="6" w:space="0" w:color="auto"/>
              <w:bottom w:val="single" w:sz="6" w:space="0" w:color="auto"/>
              <w:right w:val="single" w:sz="6" w:space="0" w:color="auto"/>
            </w:tcBorders>
          </w:tcPr>
          <w:p w14:paraId="0DBA84F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478B4C4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3,898</w:t>
            </w:r>
          </w:p>
        </w:tc>
        <w:tc>
          <w:tcPr>
            <w:tcW w:w="1343" w:type="dxa"/>
            <w:tcBorders>
              <w:top w:val="single" w:sz="6" w:space="0" w:color="auto"/>
              <w:left w:val="single" w:sz="6" w:space="0" w:color="auto"/>
              <w:bottom w:val="single" w:sz="6" w:space="0" w:color="auto"/>
              <w:right w:val="single" w:sz="6" w:space="0" w:color="auto"/>
            </w:tcBorders>
          </w:tcPr>
          <w:p w14:paraId="45F9E5C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70.4</w:t>
            </w:r>
          </w:p>
        </w:tc>
        <w:tc>
          <w:tcPr>
            <w:tcW w:w="1344" w:type="dxa"/>
            <w:tcBorders>
              <w:top w:val="single" w:sz="6" w:space="0" w:color="auto"/>
              <w:left w:val="single" w:sz="6" w:space="0" w:color="auto"/>
              <w:bottom w:val="single" w:sz="6" w:space="0" w:color="auto"/>
              <w:right w:val="single" w:sz="6" w:space="0" w:color="auto"/>
            </w:tcBorders>
          </w:tcPr>
          <w:p w14:paraId="1EF1070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929</w:t>
            </w:r>
          </w:p>
        </w:tc>
        <w:tc>
          <w:tcPr>
            <w:tcW w:w="1343" w:type="dxa"/>
            <w:tcBorders>
              <w:top w:val="single" w:sz="6" w:space="0" w:color="auto"/>
              <w:left w:val="single" w:sz="6" w:space="0" w:color="auto"/>
              <w:bottom w:val="single" w:sz="6" w:space="0" w:color="auto"/>
              <w:right w:val="single" w:sz="6" w:space="0" w:color="auto"/>
            </w:tcBorders>
          </w:tcPr>
          <w:p w14:paraId="1FA70AB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16.8</w:t>
            </w:r>
          </w:p>
        </w:tc>
        <w:tc>
          <w:tcPr>
            <w:tcW w:w="1344" w:type="dxa"/>
            <w:tcBorders>
              <w:top w:val="single" w:sz="6" w:space="0" w:color="auto"/>
              <w:left w:val="single" w:sz="6" w:space="0" w:color="auto"/>
              <w:bottom w:val="single" w:sz="6" w:space="0" w:color="auto"/>
              <w:right w:val="single" w:sz="6" w:space="0" w:color="auto"/>
            </w:tcBorders>
          </w:tcPr>
          <w:p w14:paraId="66537F7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708</w:t>
            </w:r>
          </w:p>
        </w:tc>
        <w:tc>
          <w:tcPr>
            <w:tcW w:w="1343" w:type="dxa"/>
            <w:tcBorders>
              <w:top w:val="single" w:sz="6" w:space="0" w:color="auto"/>
              <w:left w:val="single" w:sz="6" w:space="0" w:color="auto"/>
              <w:bottom w:val="single" w:sz="6" w:space="0" w:color="auto"/>
              <w:right w:val="single" w:sz="6" w:space="0" w:color="auto"/>
            </w:tcBorders>
          </w:tcPr>
          <w:p w14:paraId="2C4D3E9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12.8</w:t>
            </w:r>
          </w:p>
        </w:tc>
        <w:tc>
          <w:tcPr>
            <w:tcW w:w="1344" w:type="dxa"/>
            <w:tcBorders>
              <w:top w:val="single" w:sz="6" w:space="0" w:color="auto"/>
              <w:left w:val="single" w:sz="6" w:space="0" w:color="auto"/>
              <w:bottom w:val="single" w:sz="6" w:space="0" w:color="auto"/>
              <w:right w:val="single" w:sz="6" w:space="0" w:color="auto"/>
            </w:tcBorders>
          </w:tcPr>
          <w:p w14:paraId="2A67CCB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5,535</w:t>
            </w:r>
          </w:p>
        </w:tc>
      </w:tr>
      <w:tr w:rsidR="007D1CBD" w:rsidRPr="00392E0D" w14:paraId="256745A5"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21FDD6E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222A673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3,840</w:t>
            </w:r>
          </w:p>
        </w:tc>
        <w:tc>
          <w:tcPr>
            <w:tcW w:w="1343" w:type="dxa"/>
            <w:tcBorders>
              <w:top w:val="single" w:sz="6" w:space="0" w:color="auto"/>
              <w:left w:val="single" w:sz="6" w:space="0" w:color="auto"/>
              <w:bottom w:val="single" w:sz="6" w:space="0" w:color="auto"/>
              <w:right w:val="single" w:sz="6" w:space="0" w:color="auto"/>
            </w:tcBorders>
          </w:tcPr>
          <w:p w14:paraId="4FC64FC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70.0</w:t>
            </w:r>
          </w:p>
        </w:tc>
        <w:tc>
          <w:tcPr>
            <w:tcW w:w="1344" w:type="dxa"/>
            <w:tcBorders>
              <w:top w:val="single" w:sz="6" w:space="0" w:color="auto"/>
              <w:left w:val="single" w:sz="6" w:space="0" w:color="auto"/>
              <w:bottom w:val="single" w:sz="6" w:space="0" w:color="auto"/>
              <w:right w:val="single" w:sz="6" w:space="0" w:color="auto"/>
            </w:tcBorders>
          </w:tcPr>
          <w:p w14:paraId="05EFFC0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978</w:t>
            </w:r>
          </w:p>
        </w:tc>
        <w:tc>
          <w:tcPr>
            <w:tcW w:w="1343" w:type="dxa"/>
            <w:tcBorders>
              <w:top w:val="single" w:sz="6" w:space="0" w:color="auto"/>
              <w:left w:val="single" w:sz="6" w:space="0" w:color="auto"/>
              <w:bottom w:val="single" w:sz="6" w:space="0" w:color="auto"/>
              <w:right w:val="single" w:sz="6" w:space="0" w:color="auto"/>
            </w:tcBorders>
          </w:tcPr>
          <w:p w14:paraId="62A49E3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17.8</w:t>
            </w:r>
          </w:p>
        </w:tc>
        <w:tc>
          <w:tcPr>
            <w:tcW w:w="1344" w:type="dxa"/>
            <w:tcBorders>
              <w:top w:val="single" w:sz="6" w:space="0" w:color="auto"/>
              <w:left w:val="single" w:sz="6" w:space="0" w:color="auto"/>
              <w:bottom w:val="single" w:sz="6" w:space="0" w:color="auto"/>
              <w:right w:val="single" w:sz="6" w:space="0" w:color="auto"/>
            </w:tcBorders>
          </w:tcPr>
          <w:p w14:paraId="60567F9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666</w:t>
            </w:r>
          </w:p>
        </w:tc>
        <w:tc>
          <w:tcPr>
            <w:tcW w:w="1343" w:type="dxa"/>
            <w:tcBorders>
              <w:top w:val="single" w:sz="6" w:space="0" w:color="auto"/>
              <w:left w:val="single" w:sz="6" w:space="0" w:color="auto"/>
              <w:bottom w:val="single" w:sz="6" w:space="0" w:color="auto"/>
              <w:right w:val="single" w:sz="6" w:space="0" w:color="auto"/>
            </w:tcBorders>
          </w:tcPr>
          <w:p w14:paraId="716AAFD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12.1</w:t>
            </w:r>
          </w:p>
        </w:tc>
        <w:tc>
          <w:tcPr>
            <w:tcW w:w="1344" w:type="dxa"/>
            <w:tcBorders>
              <w:top w:val="single" w:sz="6" w:space="0" w:color="auto"/>
              <w:left w:val="single" w:sz="6" w:space="0" w:color="auto"/>
              <w:bottom w:val="single" w:sz="6" w:space="0" w:color="auto"/>
              <w:right w:val="single" w:sz="6" w:space="0" w:color="auto"/>
            </w:tcBorders>
          </w:tcPr>
          <w:p w14:paraId="24E94E2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5,484</w:t>
            </w:r>
          </w:p>
        </w:tc>
      </w:tr>
      <w:tr w:rsidR="007D1CBD" w:rsidRPr="00392E0D" w14:paraId="2919442E"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5E795E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206D581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3,755</w:t>
            </w:r>
          </w:p>
        </w:tc>
        <w:tc>
          <w:tcPr>
            <w:tcW w:w="1343" w:type="dxa"/>
            <w:tcBorders>
              <w:top w:val="single" w:sz="6" w:space="0" w:color="auto"/>
              <w:left w:val="single" w:sz="6" w:space="0" w:color="auto"/>
              <w:bottom w:val="single" w:sz="6" w:space="0" w:color="auto"/>
              <w:right w:val="single" w:sz="6" w:space="0" w:color="auto"/>
            </w:tcBorders>
          </w:tcPr>
          <w:p w14:paraId="1DD845A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72.7</w:t>
            </w:r>
          </w:p>
        </w:tc>
        <w:tc>
          <w:tcPr>
            <w:tcW w:w="1344" w:type="dxa"/>
            <w:tcBorders>
              <w:top w:val="single" w:sz="6" w:space="0" w:color="auto"/>
              <w:left w:val="single" w:sz="6" w:space="0" w:color="auto"/>
              <w:bottom w:val="single" w:sz="6" w:space="0" w:color="auto"/>
              <w:right w:val="single" w:sz="6" w:space="0" w:color="auto"/>
            </w:tcBorders>
          </w:tcPr>
          <w:p w14:paraId="0CF55B2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846</w:t>
            </w:r>
          </w:p>
        </w:tc>
        <w:tc>
          <w:tcPr>
            <w:tcW w:w="1343" w:type="dxa"/>
            <w:tcBorders>
              <w:top w:val="single" w:sz="6" w:space="0" w:color="auto"/>
              <w:left w:val="single" w:sz="6" w:space="0" w:color="auto"/>
              <w:bottom w:val="single" w:sz="6" w:space="0" w:color="auto"/>
              <w:right w:val="single" w:sz="6" w:space="0" w:color="auto"/>
            </w:tcBorders>
          </w:tcPr>
          <w:p w14:paraId="3BB6E38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16.4</w:t>
            </w:r>
          </w:p>
        </w:tc>
        <w:tc>
          <w:tcPr>
            <w:tcW w:w="1344" w:type="dxa"/>
            <w:tcBorders>
              <w:top w:val="single" w:sz="6" w:space="0" w:color="auto"/>
              <w:left w:val="single" w:sz="6" w:space="0" w:color="auto"/>
              <w:bottom w:val="single" w:sz="6" w:space="0" w:color="auto"/>
              <w:right w:val="single" w:sz="6" w:space="0" w:color="auto"/>
            </w:tcBorders>
          </w:tcPr>
          <w:p w14:paraId="72445FC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564</w:t>
            </w:r>
          </w:p>
        </w:tc>
        <w:tc>
          <w:tcPr>
            <w:tcW w:w="1343" w:type="dxa"/>
            <w:tcBorders>
              <w:top w:val="single" w:sz="6" w:space="0" w:color="auto"/>
              <w:left w:val="single" w:sz="6" w:space="0" w:color="auto"/>
              <w:bottom w:val="single" w:sz="6" w:space="0" w:color="auto"/>
              <w:right w:val="single" w:sz="6" w:space="0" w:color="auto"/>
            </w:tcBorders>
          </w:tcPr>
          <w:p w14:paraId="441B410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10.9</w:t>
            </w:r>
          </w:p>
        </w:tc>
        <w:tc>
          <w:tcPr>
            <w:tcW w:w="1344" w:type="dxa"/>
            <w:tcBorders>
              <w:top w:val="single" w:sz="6" w:space="0" w:color="auto"/>
              <w:left w:val="single" w:sz="6" w:space="0" w:color="auto"/>
              <w:bottom w:val="single" w:sz="6" w:space="0" w:color="auto"/>
              <w:right w:val="single" w:sz="6" w:space="0" w:color="auto"/>
            </w:tcBorders>
          </w:tcPr>
          <w:p w14:paraId="649AFE4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5,165</w:t>
            </w:r>
          </w:p>
        </w:tc>
      </w:tr>
      <w:tr w:rsidR="007D1CBD" w:rsidRPr="00392E0D" w14:paraId="7F27B64E"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49596B8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067E290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3,358</w:t>
            </w:r>
          </w:p>
        </w:tc>
        <w:tc>
          <w:tcPr>
            <w:tcW w:w="1343" w:type="dxa"/>
            <w:tcBorders>
              <w:top w:val="single" w:sz="6" w:space="0" w:color="auto"/>
              <w:left w:val="single" w:sz="6" w:space="0" w:color="auto"/>
              <w:bottom w:val="single" w:sz="6" w:space="0" w:color="auto"/>
              <w:right w:val="single" w:sz="6" w:space="0" w:color="auto"/>
            </w:tcBorders>
          </w:tcPr>
          <w:p w14:paraId="30F9B4D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72.6</w:t>
            </w:r>
          </w:p>
        </w:tc>
        <w:tc>
          <w:tcPr>
            <w:tcW w:w="1344" w:type="dxa"/>
            <w:tcBorders>
              <w:top w:val="single" w:sz="6" w:space="0" w:color="auto"/>
              <w:left w:val="single" w:sz="6" w:space="0" w:color="auto"/>
              <w:bottom w:val="single" w:sz="6" w:space="0" w:color="auto"/>
              <w:right w:val="single" w:sz="6" w:space="0" w:color="auto"/>
            </w:tcBorders>
          </w:tcPr>
          <w:p w14:paraId="769C2D4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780</w:t>
            </w:r>
          </w:p>
        </w:tc>
        <w:tc>
          <w:tcPr>
            <w:tcW w:w="1343" w:type="dxa"/>
            <w:tcBorders>
              <w:top w:val="single" w:sz="6" w:space="0" w:color="auto"/>
              <w:left w:val="single" w:sz="6" w:space="0" w:color="auto"/>
              <w:bottom w:val="single" w:sz="6" w:space="0" w:color="auto"/>
              <w:right w:val="single" w:sz="6" w:space="0" w:color="auto"/>
            </w:tcBorders>
          </w:tcPr>
          <w:p w14:paraId="60827A2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16.9</w:t>
            </w:r>
          </w:p>
        </w:tc>
        <w:tc>
          <w:tcPr>
            <w:tcW w:w="1344" w:type="dxa"/>
            <w:tcBorders>
              <w:top w:val="single" w:sz="6" w:space="0" w:color="auto"/>
              <w:left w:val="single" w:sz="6" w:space="0" w:color="auto"/>
              <w:bottom w:val="single" w:sz="6" w:space="0" w:color="auto"/>
              <w:right w:val="single" w:sz="6" w:space="0" w:color="auto"/>
            </w:tcBorders>
          </w:tcPr>
          <w:p w14:paraId="0893FC6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490</w:t>
            </w:r>
          </w:p>
        </w:tc>
        <w:tc>
          <w:tcPr>
            <w:tcW w:w="1343" w:type="dxa"/>
            <w:tcBorders>
              <w:top w:val="single" w:sz="6" w:space="0" w:color="auto"/>
              <w:left w:val="single" w:sz="6" w:space="0" w:color="auto"/>
              <w:bottom w:val="single" w:sz="6" w:space="0" w:color="auto"/>
              <w:right w:val="single" w:sz="6" w:space="0" w:color="auto"/>
            </w:tcBorders>
          </w:tcPr>
          <w:p w14:paraId="3047195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w:t>
            </w:r>
          </w:p>
        </w:tc>
        <w:tc>
          <w:tcPr>
            <w:tcW w:w="1344" w:type="dxa"/>
            <w:tcBorders>
              <w:top w:val="single" w:sz="6" w:space="0" w:color="auto"/>
              <w:left w:val="single" w:sz="6" w:space="0" w:color="auto"/>
              <w:bottom w:val="single" w:sz="6" w:space="0" w:color="auto"/>
              <w:right w:val="single" w:sz="6" w:space="0" w:color="auto"/>
            </w:tcBorders>
          </w:tcPr>
          <w:p w14:paraId="32A5011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4,628</w:t>
            </w:r>
          </w:p>
        </w:tc>
      </w:tr>
      <w:tr w:rsidR="007D1CBD" w:rsidRPr="00392E0D" w14:paraId="6BE81635"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189BE3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0C52B21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3,202</w:t>
            </w:r>
          </w:p>
        </w:tc>
        <w:tc>
          <w:tcPr>
            <w:tcW w:w="1343" w:type="dxa"/>
            <w:tcBorders>
              <w:top w:val="single" w:sz="6" w:space="0" w:color="auto"/>
              <w:left w:val="single" w:sz="6" w:space="0" w:color="auto"/>
              <w:bottom w:val="single" w:sz="6" w:space="0" w:color="auto"/>
              <w:right w:val="single" w:sz="6" w:space="0" w:color="auto"/>
            </w:tcBorders>
          </w:tcPr>
          <w:p w14:paraId="5B864CE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76.3</w:t>
            </w:r>
          </w:p>
        </w:tc>
        <w:tc>
          <w:tcPr>
            <w:tcW w:w="1344" w:type="dxa"/>
            <w:tcBorders>
              <w:top w:val="single" w:sz="6" w:space="0" w:color="auto"/>
              <w:left w:val="single" w:sz="6" w:space="0" w:color="auto"/>
              <w:bottom w:val="single" w:sz="6" w:space="0" w:color="auto"/>
              <w:right w:val="single" w:sz="6" w:space="0" w:color="auto"/>
            </w:tcBorders>
          </w:tcPr>
          <w:p w14:paraId="4A4231F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601</w:t>
            </w:r>
          </w:p>
        </w:tc>
        <w:tc>
          <w:tcPr>
            <w:tcW w:w="1343" w:type="dxa"/>
            <w:tcBorders>
              <w:top w:val="single" w:sz="6" w:space="0" w:color="auto"/>
              <w:left w:val="single" w:sz="6" w:space="0" w:color="auto"/>
              <w:bottom w:val="single" w:sz="6" w:space="0" w:color="auto"/>
              <w:right w:val="single" w:sz="6" w:space="0" w:color="auto"/>
            </w:tcBorders>
          </w:tcPr>
          <w:p w14:paraId="68845D1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14.3</w:t>
            </w:r>
          </w:p>
        </w:tc>
        <w:tc>
          <w:tcPr>
            <w:tcW w:w="1344" w:type="dxa"/>
            <w:tcBorders>
              <w:top w:val="single" w:sz="6" w:space="0" w:color="auto"/>
              <w:left w:val="single" w:sz="6" w:space="0" w:color="auto"/>
              <w:bottom w:val="single" w:sz="6" w:space="0" w:color="auto"/>
              <w:right w:val="single" w:sz="6" w:space="0" w:color="auto"/>
            </w:tcBorders>
          </w:tcPr>
          <w:p w14:paraId="38F5608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395</w:t>
            </w:r>
          </w:p>
        </w:tc>
        <w:tc>
          <w:tcPr>
            <w:tcW w:w="1343" w:type="dxa"/>
            <w:tcBorders>
              <w:top w:val="single" w:sz="6" w:space="0" w:color="auto"/>
              <w:left w:val="single" w:sz="6" w:space="0" w:color="auto"/>
              <w:bottom w:val="single" w:sz="6" w:space="0" w:color="auto"/>
              <w:right w:val="single" w:sz="6" w:space="0" w:color="auto"/>
            </w:tcBorders>
          </w:tcPr>
          <w:p w14:paraId="3884F4F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w:t>
            </w:r>
          </w:p>
        </w:tc>
        <w:tc>
          <w:tcPr>
            <w:tcW w:w="1344" w:type="dxa"/>
            <w:tcBorders>
              <w:top w:val="single" w:sz="6" w:space="0" w:color="auto"/>
              <w:left w:val="single" w:sz="6" w:space="0" w:color="auto"/>
              <w:bottom w:val="single" w:sz="6" w:space="0" w:color="auto"/>
              <w:right w:val="single" w:sz="6" w:space="0" w:color="auto"/>
            </w:tcBorders>
          </w:tcPr>
          <w:p w14:paraId="5FB633A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4,198</w:t>
            </w:r>
          </w:p>
        </w:tc>
      </w:tr>
    </w:tbl>
    <w:p w14:paraId="23780BAB" w14:textId="77777777" w:rsidR="007D1CBD" w:rsidRPr="00392E0D" w:rsidRDefault="007D1CBD">
      <w:pPr>
        <w:widowControl/>
        <w:autoSpaceDE/>
        <w:autoSpaceDN/>
        <w:rPr>
          <w:rFonts w:ascii="Arial" w:eastAsia="Times New Roman" w:hAnsi="Arial" w:cs="Arial"/>
          <w:color w:val="000000" w:themeColor="text1"/>
          <w:sz w:val="21"/>
          <w:szCs w:val="18"/>
        </w:rPr>
      </w:pPr>
      <w:r w:rsidRPr="00392E0D">
        <w:rPr>
          <w:rFonts w:ascii="Arial" w:hAnsi="Arial" w:cs="Arial"/>
        </w:rPr>
        <w:br w:type="page"/>
      </w:r>
    </w:p>
    <w:p w14:paraId="32DA111C" w14:textId="3B802E1F" w:rsidR="007D1CBD" w:rsidRPr="00392E0D" w:rsidRDefault="007D1CBD" w:rsidP="007D1CBD">
      <w:pPr>
        <w:pStyle w:val="Caption"/>
        <w:rPr>
          <w:rFonts w:eastAsiaTheme="minorHAnsi" w:cs="Arial"/>
          <w:lang w:val="en-AU"/>
        </w:rPr>
      </w:pPr>
      <w:r w:rsidRPr="00392E0D">
        <w:rPr>
          <w:rFonts w:cs="Arial"/>
        </w:rPr>
        <w:lastRenderedPageBreak/>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108</w:t>
      </w:r>
      <w:r w:rsidRPr="00392E0D">
        <w:rPr>
          <w:rFonts w:cs="Arial"/>
        </w:rPr>
        <w:fldChar w:fldCharType="end"/>
      </w:r>
      <w:r w:rsidRPr="00392E0D">
        <w:rPr>
          <w:rFonts w:cs="Arial"/>
        </w:rPr>
        <w:tab/>
      </w:r>
      <w:r w:rsidRPr="00392E0D">
        <w:rPr>
          <w:rFonts w:eastAsiaTheme="minorHAnsi" w:cs="Arial"/>
          <w:lang w:val="en-AU"/>
        </w:rPr>
        <w:t>Australian Capital Territory trends (2009 – 2021) – Social Competence domain</w:t>
      </w:r>
    </w:p>
    <w:tbl>
      <w:tblPr>
        <w:tblW w:w="10370" w:type="dxa"/>
        <w:tblInd w:w="-30" w:type="dxa"/>
        <w:tblLayout w:type="fixed"/>
        <w:tblLook w:val="0000" w:firstRow="0" w:lastRow="0" w:firstColumn="0" w:lastColumn="0" w:noHBand="0" w:noVBand="0"/>
      </w:tblPr>
      <w:tblGrid>
        <w:gridCol w:w="974"/>
        <w:gridCol w:w="1342"/>
        <w:gridCol w:w="1342"/>
        <w:gridCol w:w="1342"/>
        <w:gridCol w:w="1343"/>
        <w:gridCol w:w="1342"/>
        <w:gridCol w:w="1342"/>
        <w:gridCol w:w="1343"/>
      </w:tblGrid>
      <w:tr w:rsidR="007D1CBD" w:rsidRPr="00392E0D" w14:paraId="5A39EEC0" w14:textId="77777777" w:rsidTr="006D110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14BC221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1342" w:type="dxa"/>
            <w:tcBorders>
              <w:top w:val="single" w:sz="6" w:space="0" w:color="auto"/>
              <w:left w:val="single" w:sz="6" w:space="0" w:color="auto"/>
              <w:bottom w:val="single" w:sz="6" w:space="0" w:color="auto"/>
              <w:right w:val="single" w:sz="6" w:space="0" w:color="auto"/>
            </w:tcBorders>
            <w:vAlign w:val="bottom"/>
          </w:tcPr>
          <w:p w14:paraId="1074F446" w14:textId="00767B74"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(n)</w:t>
            </w:r>
          </w:p>
        </w:tc>
        <w:tc>
          <w:tcPr>
            <w:tcW w:w="1342" w:type="dxa"/>
            <w:tcBorders>
              <w:top w:val="single" w:sz="6" w:space="0" w:color="auto"/>
              <w:left w:val="single" w:sz="6" w:space="0" w:color="auto"/>
              <w:bottom w:val="single" w:sz="6" w:space="0" w:color="auto"/>
              <w:right w:val="single" w:sz="6" w:space="0" w:color="auto"/>
            </w:tcBorders>
            <w:vAlign w:val="bottom"/>
          </w:tcPr>
          <w:p w14:paraId="71CBD713" w14:textId="066A7A0F"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w:t>
            </w:r>
          </w:p>
        </w:tc>
        <w:tc>
          <w:tcPr>
            <w:tcW w:w="1342" w:type="dxa"/>
            <w:tcBorders>
              <w:top w:val="single" w:sz="6" w:space="0" w:color="auto"/>
              <w:left w:val="single" w:sz="6" w:space="0" w:color="auto"/>
              <w:bottom w:val="single" w:sz="6" w:space="0" w:color="auto"/>
              <w:right w:val="single" w:sz="6" w:space="0" w:color="auto"/>
            </w:tcBorders>
            <w:vAlign w:val="bottom"/>
          </w:tcPr>
          <w:p w14:paraId="3406F634" w14:textId="53B763F3"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0A1FFDF0" w14:textId="4905D55A"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w:t>
            </w:r>
          </w:p>
        </w:tc>
        <w:tc>
          <w:tcPr>
            <w:tcW w:w="1342" w:type="dxa"/>
            <w:tcBorders>
              <w:top w:val="single" w:sz="6" w:space="0" w:color="auto"/>
              <w:left w:val="single" w:sz="6" w:space="0" w:color="auto"/>
              <w:bottom w:val="single" w:sz="6" w:space="0" w:color="auto"/>
              <w:right w:val="single" w:sz="6" w:space="0" w:color="auto"/>
            </w:tcBorders>
            <w:vAlign w:val="bottom"/>
          </w:tcPr>
          <w:p w14:paraId="085D99E3" w14:textId="6E2E9334"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(n)</w:t>
            </w:r>
          </w:p>
        </w:tc>
        <w:tc>
          <w:tcPr>
            <w:tcW w:w="1342" w:type="dxa"/>
            <w:tcBorders>
              <w:top w:val="single" w:sz="6" w:space="0" w:color="auto"/>
              <w:left w:val="single" w:sz="6" w:space="0" w:color="auto"/>
              <w:bottom w:val="single" w:sz="6" w:space="0" w:color="auto"/>
              <w:right w:val="single" w:sz="6" w:space="0" w:color="auto"/>
            </w:tcBorders>
            <w:vAlign w:val="bottom"/>
          </w:tcPr>
          <w:p w14:paraId="09E547B3" w14:textId="164C3D56"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w:t>
            </w:r>
          </w:p>
        </w:tc>
        <w:tc>
          <w:tcPr>
            <w:tcW w:w="1343" w:type="dxa"/>
            <w:tcBorders>
              <w:top w:val="single" w:sz="6" w:space="0" w:color="auto"/>
              <w:left w:val="single" w:sz="6" w:space="0" w:color="auto"/>
              <w:bottom w:val="single" w:sz="6" w:space="0" w:color="auto"/>
              <w:right w:val="single" w:sz="6" w:space="0" w:color="auto"/>
            </w:tcBorders>
            <w:vAlign w:val="bottom"/>
          </w:tcPr>
          <w:p w14:paraId="3BFC5447" w14:textId="36BACE69"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3996C921"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7B89161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2" w:type="dxa"/>
            <w:tcBorders>
              <w:top w:val="single" w:sz="6" w:space="0" w:color="auto"/>
              <w:left w:val="single" w:sz="6" w:space="0" w:color="auto"/>
              <w:bottom w:val="single" w:sz="6" w:space="0" w:color="auto"/>
              <w:right w:val="single" w:sz="6" w:space="0" w:color="auto"/>
            </w:tcBorders>
          </w:tcPr>
          <w:p w14:paraId="5522329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3,893</w:t>
            </w:r>
          </w:p>
        </w:tc>
        <w:tc>
          <w:tcPr>
            <w:tcW w:w="1342" w:type="dxa"/>
            <w:tcBorders>
              <w:top w:val="single" w:sz="6" w:space="0" w:color="auto"/>
              <w:left w:val="single" w:sz="6" w:space="0" w:color="auto"/>
              <w:bottom w:val="single" w:sz="6" w:space="0" w:color="auto"/>
              <w:right w:val="single" w:sz="6" w:space="0" w:color="auto"/>
            </w:tcBorders>
          </w:tcPr>
          <w:p w14:paraId="1BFCE0B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70.3</w:t>
            </w:r>
          </w:p>
        </w:tc>
        <w:tc>
          <w:tcPr>
            <w:tcW w:w="1342" w:type="dxa"/>
            <w:tcBorders>
              <w:top w:val="single" w:sz="6" w:space="0" w:color="auto"/>
              <w:left w:val="single" w:sz="6" w:space="0" w:color="auto"/>
              <w:bottom w:val="single" w:sz="6" w:space="0" w:color="auto"/>
              <w:right w:val="single" w:sz="6" w:space="0" w:color="auto"/>
            </w:tcBorders>
          </w:tcPr>
          <w:p w14:paraId="4F46B0D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966</w:t>
            </w:r>
          </w:p>
        </w:tc>
        <w:tc>
          <w:tcPr>
            <w:tcW w:w="1343" w:type="dxa"/>
            <w:tcBorders>
              <w:top w:val="single" w:sz="6" w:space="0" w:color="auto"/>
              <w:left w:val="single" w:sz="6" w:space="0" w:color="auto"/>
              <w:bottom w:val="single" w:sz="6" w:space="0" w:color="auto"/>
              <w:right w:val="single" w:sz="6" w:space="0" w:color="auto"/>
            </w:tcBorders>
          </w:tcPr>
          <w:p w14:paraId="65FAFD7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w:t>
            </w:r>
          </w:p>
        </w:tc>
        <w:tc>
          <w:tcPr>
            <w:tcW w:w="1342" w:type="dxa"/>
            <w:tcBorders>
              <w:top w:val="single" w:sz="6" w:space="0" w:color="auto"/>
              <w:left w:val="single" w:sz="6" w:space="0" w:color="auto"/>
              <w:bottom w:val="single" w:sz="6" w:space="0" w:color="auto"/>
              <w:right w:val="single" w:sz="6" w:space="0" w:color="auto"/>
            </w:tcBorders>
          </w:tcPr>
          <w:p w14:paraId="68D9FA5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675</w:t>
            </w:r>
          </w:p>
        </w:tc>
        <w:tc>
          <w:tcPr>
            <w:tcW w:w="1342" w:type="dxa"/>
            <w:tcBorders>
              <w:top w:val="single" w:sz="6" w:space="0" w:color="auto"/>
              <w:left w:val="single" w:sz="6" w:space="0" w:color="auto"/>
              <w:bottom w:val="single" w:sz="6" w:space="0" w:color="auto"/>
              <w:right w:val="single" w:sz="6" w:space="0" w:color="auto"/>
            </w:tcBorders>
          </w:tcPr>
          <w:p w14:paraId="0D65EC7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12.2</w:t>
            </w:r>
          </w:p>
        </w:tc>
        <w:tc>
          <w:tcPr>
            <w:tcW w:w="1343" w:type="dxa"/>
            <w:tcBorders>
              <w:top w:val="single" w:sz="6" w:space="0" w:color="auto"/>
              <w:left w:val="single" w:sz="6" w:space="0" w:color="auto"/>
              <w:bottom w:val="single" w:sz="6" w:space="0" w:color="auto"/>
              <w:right w:val="single" w:sz="6" w:space="0" w:color="auto"/>
            </w:tcBorders>
          </w:tcPr>
          <w:p w14:paraId="1A2C892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5,534</w:t>
            </w:r>
          </w:p>
        </w:tc>
      </w:tr>
      <w:tr w:rsidR="007D1CBD" w:rsidRPr="00392E0D" w14:paraId="78D909B3"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68AECBA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2" w:type="dxa"/>
            <w:tcBorders>
              <w:top w:val="single" w:sz="6" w:space="0" w:color="auto"/>
              <w:left w:val="single" w:sz="6" w:space="0" w:color="auto"/>
              <w:bottom w:val="single" w:sz="6" w:space="0" w:color="auto"/>
              <w:right w:val="single" w:sz="6" w:space="0" w:color="auto"/>
            </w:tcBorders>
          </w:tcPr>
          <w:p w14:paraId="14C7CF9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3,969</w:t>
            </w:r>
          </w:p>
        </w:tc>
        <w:tc>
          <w:tcPr>
            <w:tcW w:w="1342" w:type="dxa"/>
            <w:tcBorders>
              <w:top w:val="single" w:sz="6" w:space="0" w:color="auto"/>
              <w:left w:val="single" w:sz="6" w:space="0" w:color="auto"/>
              <w:bottom w:val="single" w:sz="6" w:space="0" w:color="auto"/>
              <w:right w:val="single" w:sz="6" w:space="0" w:color="auto"/>
            </w:tcBorders>
          </w:tcPr>
          <w:p w14:paraId="50747CD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72.4</w:t>
            </w:r>
          </w:p>
        </w:tc>
        <w:tc>
          <w:tcPr>
            <w:tcW w:w="1342" w:type="dxa"/>
            <w:tcBorders>
              <w:top w:val="single" w:sz="6" w:space="0" w:color="auto"/>
              <w:left w:val="single" w:sz="6" w:space="0" w:color="auto"/>
              <w:bottom w:val="single" w:sz="6" w:space="0" w:color="auto"/>
              <w:right w:val="single" w:sz="6" w:space="0" w:color="auto"/>
            </w:tcBorders>
          </w:tcPr>
          <w:p w14:paraId="1FE751C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841</w:t>
            </w:r>
          </w:p>
        </w:tc>
        <w:tc>
          <w:tcPr>
            <w:tcW w:w="1343" w:type="dxa"/>
            <w:tcBorders>
              <w:top w:val="single" w:sz="6" w:space="0" w:color="auto"/>
              <w:left w:val="single" w:sz="6" w:space="0" w:color="auto"/>
              <w:bottom w:val="single" w:sz="6" w:space="0" w:color="auto"/>
              <w:right w:val="single" w:sz="6" w:space="0" w:color="auto"/>
            </w:tcBorders>
          </w:tcPr>
          <w:p w14:paraId="08380B5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15.3</w:t>
            </w:r>
          </w:p>
        </w:tc>
        <w:tc>
          <w:tcPr>
            <w:tcW w:w="1342" w:type="dxa"/>
            <w:tcBorders>
              <w:top w:val="single" w:sz="6" w:space="0" w:color="auto"/>
              <w:left w:val="single" w:sz="6" w:space="0" w:color="auto"/>
              <w:bottom w:val="single" w:sz="6" w:space="0" w:color="auto"/>
              <w:right w:val="single" w:sz="6" w:space="0" w:color="auto"/>
            </w:tcBorders>
          </w:tcPr>
          <w:p w14:paraId="6916F0B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674</w:t>
            </w:r>
          </w:p>
        </w:tc>
        <w:tc>
          <w:tcPr>
            <w:tcW w:w="1342" w:type="dxa"/>
            <w:tcBorders>
              <w:top w:val="single" w:sz="6" w:space="0" w:color="auto"/>
              <w:left w:val="single" w:sz="6" w:space="0" w:color="auto"/>
              <w:bottom w:val="single" w:sz="6" w:space="0" w:color="auto"/>
              <w:right w:val="single" w:sz="6" w:space="0" w:color="auto"/>
            </w:tcBorders>
          </w:tcPr>
          <w:p w14:paraId="301DE24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12.3</w:t>
            </w:r>
          </w:p>
        </w:tc>
        <w:tc>
          <w:tcPr>
            <w:tcW w:w="1343" w:type="dxa"/>
            <w:tcBorders>
              <w:top w:val="single" w:sz="6" w:space="0" w:color="auto"/>
              <w:left w:val="single" w:sz="6" w:space="0" w:color="auto"/>
              <w:bottom w:val="single" w:sz="6" w:space="0" w:color="auto"/>
              <w:right w:val="single" w:sz="6" w:space="0" w:color="auto"/>
            </w:tcBorders>
          </w:tcPr>
          <w:p w14:paraId="057F1F1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5,484</w:t>
            </w:r>
          </w:p>
        </w:tc>
      </w:tr>
      <w:tr w:rsidR="007D1CBD" w:rsidRPr="00392E0D" w14:paraId="43628A4F"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9560F6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2" w:type="dxa"/>
            <w:tcBorders>
              <w:top w:val="single" w:sz="6" w:space="0" w:color="auto"/>
              <w:left w:val="single" w:sz="6" w:space="0" w:color="auto"/>
              <w:bottom w:val="single" w:sz="6" w:space="0" w:color="auto"/>
              <w:right w:val="single" w:sz="6" w:space="0" w:color="auto"/>
            </w:tcBorders>
          </w:tcPr>
          <w:p w14:paraId="3599307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3,845</w:t>
            </w:r>
          </w:p>
        </w:tc>
        <w:tc>
          <w:tcPr>
            <w:tcW w:w="1342" w:type="dxa"/>
            <w:tcBorders>
              <w:top w:val="single" w:sz="6" w:space="0" w:color="auto"/>
              <w:left w:val="single" w:sz="6" w:space="0" w:color="auto"/>
              <w:bottom w:val="single" w:sz="6" w:space="0" w:color="auto"/>
              <w:right w:val="single" w:sz="6" w:space="0" w:color="auto"/>
            </w:tcBorders>
          </w:tcPr>
          <w:p w14:paraId="50E432F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74.5</w:t>
            </w:r>
          </w:p>
        </w:tc>
        <w:tc>
          <w:tcPr>
            <w:tcW w:w="1342" w:type="dxa"/>
            <w:tcBorders>
              <w:top w:val="single" w:sz="6" w:space="0" w:color="auto"/>
              <w:left w:val="single" w:sz="6" w:space="0" w:color="auto"/>
              <w:bottom w:val="single" w:sz="6" w:space="0" w:color="auto"/>
              <w:right w:val="single" w:sz="6" w:space="0" w:color="auto"/>
            </w:tcBorders>
          </w:tcPr>
          <w:p w14:paraId="5D843EB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836</w:t>
            </w:r>
          </w:p>
        </w:tc>
        <w:tc>
          <w:tcPr>
            <w:tcW w:w="1343" w:type="dxa"/>
            <w:tcBorders>
              <w:top w:val="single" w:sz="6" w:space="0" w:color="auto"/>
              <w:left w:val="single" w:sz="6" w:space="0" w:color="auto"/>
              <w:bottom w:val="single" w:sz="6" w:space="0" w:color="auto"/>
              <w:right w:val="single" w:sz="6" w:space="0" w:color="auto"/>
            </w:tcBorders>
          </w:tcPr>
          <w:p w14:paraId="3566DE8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w:t>
            </w:r>
          </w:p>
        </w:tc>
        <w:tc>
          <w:tcPr>
            <w:tcW w:w="1342" w:type="dxa"/>
            <w:tcBorders>
              <w:top w:val="single" w:sz="6" w:space="0" w:color="auto"/>
              <w:left w:val="single" w:sz="6" w:space="0" w:color="auto"/>
              <w:bottom w:val="single" w:sz="6" w:space="0" w:color="auto"/>
              <w:right w:val="single" w:sz="6" w:space="0" w:color="auto"/>
            </w:tcBorders>
          </w:tcPr>
          <w:p w14:paraId="4673B80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483</w:t>
            </w:r>
          </w:p>
        </w:tc>
        <w:tc>
          <w:tcPr>
            <w:tcW w:w="1342" w:type="dxa"/>
            <w:tcBorders>
              <w:top w:val="single" w:sz="6" w:space="0" w:color="auto"/>
              <w:left w:val="single" w:sz="6" w:space="0" w:color="auto"/>
              <w:bottom w:val="single" w:sz="6" w:space="0" w:color="auto"/>
              <w:right w:val="single" w:sz="6" w:space="0" w:color="auto"/>
            </w:tcBorders>
          </w:tcPr>
          <w:p w14:paraId="606806B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w:t>
            </w:r>
          </w:p>
        </w:tc>
        <w:tc>
          <w:tcPr>
            <w:tcW w:w="1343" w:type="dxa"/>
            <w:tcBorders>
              <w:top w:val="single" w:sz="6" w:space="0" w:color="auto"/>
              <w:left w:val="single" w:sz="6" w:space="0" w:color="auto"/>
              <w:bottom w:val="single" w:sz="6" w:space="0" w:color="auto"/>
              <w:right w:val="single" w:sz="6" w:space="0" w:color="auto"/>
            </w:tcBorders>
          </w:tcPr>
          <w:p w14:paraId="11D56A7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5,164</w:t>
            </w:r>
          </w:p>
        </w:tc>
      </w:tr>
      <w:tr w:rsidR="007D1CBD" w:rsidRPr="00392E0D" w14:paraId="2E51D34A"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660D72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2" w:type="dxa"/>
            <w:tcBorders>
              <w:top w:val="single" w:sz="6" w:space="0" w:color="auto"/>
              <w:left w:val="single" w:sz="6" w:space="0" w:color="auto"/>
              <w:bottom w:val="single" w:sz="6" w:space="0" w:color="auto"/>
              <w:right w:val="single" w:sz="6" w:space="0" w:color="auto"/>
            </w:tcBorders>
          </w:tcPr>
          <w:p w14:paraId="3C2C01C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3,489</w:t>
            </w:r>
          </w:p>
        </w:tc>
        <w:tc>
          <w:tcPr>
            <w:tcW w:w="1342" w:type="dxa"/>
            <w:tcBorders>
              <w:top w:val="single" w:sz="6" w:space="0" w:color="auto"/>
              <w:left w:val="single" w:sz="6" w:space="0" w:color="auto"/>
              <w:bottom w:val="single" w:sz="6" w:space="0" w:color="auto"/>
              <w:right w:val="single" w:sz="6" w:space="0" w:color="auto"/>
            </w:tcBorders>
          </w:tcPr>
          <w:p w14:paraId="7F4D627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75.5</w:t>
            </w:r>
          </w:p>
        </w:tc>
        <w:tc>
          <w:tcPr>
            <w:tcW w:w="1342" w:type="dxa"/>
            <w:tcBorders>
              <w:top w:val="single" w:sz="6" w:space="0" w:color="auto"/>
              <w:left w:val="single" w:sz="6" w:space="0" w:color="auto"/>
              <w:bottom w:val="single" w:sz="6" w:space="0" w:color="auto"/>
              <w:right w:val="single" w:sz="6" w:space="0" w:color="auto"/>
            </w:tcBorders>
          </w:tcPr>
          <w:p w14:paraId="56C694D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734</w:t>
            </w:r>
          </w:p>
        </w:tc>
        <w:tc>
          <w:tcPr>
            <w:tcW w:w="1343" w:type="dxa"/>
            <w:tcBorders>
              <w:top w:val="single" w:sz="6" w:space="0" w:color="auto"/>
              <w:left w:val="single" w:sz="6" w:space="0" w:color="auto"/>
              <w:bottom w:val="single" w:sz="6" w:space="0" w:color="auto"/>
              <w:right w:val="single" w:sz="6" w:space="0" w:color="auto"/>
            </w:tcBorders>
          </w:tcPr>
          <w:p w14:paraId="1B49E06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15.9</w:t>
            </w:r>
          </w:p>
        </w:tc>
        <w:tc>
          <w:tcPr>
            <w:tcW w:w="1342" w:type="dxa"/>
            <w:tcBorders>
              <w:top w:val="single" w:sz="6" w:space="0" w:color="auto"/>
              <w:left w:val="single" w:sz="6" w:space="0" w:color="auto"/>
              <w:bottom w:val="single" w:sz="6" w:space="0" w:color="auto"/>
              <w:right w:val="single" w:sz="6" w:space="0" w:color="auto"/>
            </w:tcBorders>
          </w:tcPr>
          <w:p w14:paraId="7C322AB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396</w:t>
            </w:r>
          </w:p>
        </w:tc>
        <w:tc>
          <w:tcPr>
            <w:tcW w:w="1342" w:type="dxa"/>
            <w:tcBorders>
              <w:top w:val="single" w:sz="6" w:space="0" w:color="auto"/>
              <w:left w:val="single" w:sz="6" w:space="0" w:color="auto"/>
              <w:bottom w:val="single" w:sz="6" w:space="0" w:color="auto"/>
              <w:right w:val="single" w:sz="6" w:space="0" w:color="auto"/>
            </w:tcBorders>
          </w:tcPr>
          <w:p w14:paraId="2B9D151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8.6</w:t>
            </w:r>
          </w:p>
        </w:tc>
        <w:tc>
          <w:tcPr>
            <w:tcW w:w="1343" w:type="dxa"/>
            <w:tcBorders>
              <w:top w:val="single" w:sz="6" w:space="0" w:color="auto"/>
              <w:left w:val="single" w:sz="6" w:space="0" w:color="auto"/>
              <w:bottom w:val="single" w:sz="6" w:space="0" w:color="auto"/>
              <w:right w:val="single" w:sz="6" w:space="0" w:color="auto"/>
            </w:tcBorders>
          </w:tcPr>
          <w:p w14:paraId="443E8A7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4,619</w:t>
            </w:r>
          </w:p>
        </w:tc>
      </w:tr>
      <w:tr w:rsidR="007D1CBD" w:rsidRPr="00392E0D" w14:paraId="5A391C73"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423873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2" w:type="dxa"/>
            <w:tcBorders>
              <w:top w:val="single" w:sz="6" w:space="0" w:color="auto"/>
              <w:left w:val="single" w:sz="6" w:space="0" w:color="auto"/>
              <w:bottom w:val="single" w:sz="6" w:space="0" w:color="auto"/>
              <w:right w:val="single" w:sz="6" w:space="0" w:color="auto"/>
            </w:tcBorders>
          </w:tcPr>
          <w:p w14:paraId="3208025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3,142</w:t>
            </w:r>
          </w:p>
        </w:tc>
        <w:tc>
          <w:tcPr>
            <w:tcW w:w="1342" w:type="dxa"/>
            <w:tcBorders>
              <w:top w:val="single" w:sz="6" w:space="0" w:color="auto"/>
              <w:left w:val="single" w:sz="6" w:space="0" w:color="auto"/>
              <w:bottom w:val="single" w:sz="6" w:space="0" w:color="auto"/>
              <w:right w:val="single" w:sz="6" w:space="0" w:color="auto"/>
            </w:tcBorders>
          </w:tcPr>
          <w:p w14:paraId="784E422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74.9</w:t>
            </w:r>
          </w:p>
        </w:tc>
        <w:tc>
          <w:tcPr>
            <w:tcW w:w="1342" w:type="dxa"/>
            <w:tcBorders>
              <w:top w:val="single" w:sz="6" w:space="0" w:color="auto"/>
              <w:left w:val="single" w:sz="6" w:space="0" w:color="auto"/>
              <w:bottom w:val="single" w:sz="6" w:space="0" w:color="auto"/>
              <w:right w:val="single" w:sz="6" w:space="0" w:color="auto"/>
            </w:tcBorders>
          </w:tcPr>
          <w:p w14:paraId="6D4DCD9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683</w:t>
            </w:r>
          </w:p>
        </w:tc>
        <w:tc>
          <w:tcPr>
            <w:tcW w:w="1343" w:type="dxa"/>
            <w:tcBorders>
              <w:top w:val="single" w:sz="6" w:space="0" w:color="auto"/>
              <w:left w:val="single" w:sz="6" w:space="0" w:color="auto"/>
              <w:bottom w:val="single" w:sz="6" w:space="0" w:color="auto"/>
              <w:right w:val="single" w:sz="6" w:space="0" w:color="auto"/>
            </w:tcBorders>
          </w:tcPr>
          <w:p w14:paraId="5CD5868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16.3</w:t>
            </w:r>
          </w:p>
        </w:tc>
        <w:tc>
          <w:tcPr>
            <w:tcW w:w="1342" w:type="dxa"/>
            <w:tcBorders>
              <w:top w:val="single" w:sz="6" w:space="0" w:color="auto"/>
              <w:left w:val="single" w:sz="6" w:space="0" w:color="auto"/>
              <w:bottom w:val="single" w:sz="6" w:space="0" w:color="auto"/>
              <w:right w:val="single" w:sz="6" w:space="0" w:color="auto"/>
            </w:tcBorders>
          </w:tcPr>
          <w:p w14:paraId="0697C7F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372</w:t>
            </w:r>
          </w:p>
        </w:tc>
        <w:tc>
          <w:tcPr>
            <w:tcW w:w="1342" w:type="dxa"/>
            <w:tcBorders>
              <w:top w:val="single" w:sz="6" w:space="0" w:color="auto"/>
              <w:left w:val="single" w:sz="6" w:space="0" w:color="auto"/>
              <w:bottom w:val="single" w:sz="6" w:space="0" w:color="auto"/>
              <w:right w:val="single" w:sz="6" w:space="0" w:color="auto"/>
            </w:tcBorders>
          </w:tcPr>
          <w:p w14:paraId="07DDE73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c>
          <w:tcPr>
            <w:tcW w:w="1343" w:type="dxa"/>
            <w:tcBorders>
              <w:top w:val="single" w:sz="6" w:space="0" w:color="auto"/>
              <w:left w:val="single" w:sz="6" w:space="0" w:color="auto"/>
              <w:bottom w:val="single" w:sz="6" w:space="0" w:color="auto"/>
              <w:right w:val="single" w:sz="6" w:space="0" w:color="auto"/>
            </w:tcBorders>
          </w:tcPr>
          <w:p w14:paraId="66FB856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4,197</w:t>
            </w:r>
          </w:p>
        </w:tc>
      </w:tr>
    </w:tbl>
    <w:p w14:paraId="6FA206DD" w14:textId="5B951C63" w:rsidR="007D1CBD"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109</w:t>
      </w:r>
      <w:r w:rsidRPr="00392E0D">
        <w:rPr>
          <w:rFonts w:cs="Arial"/>
        </w:rPr>
        <w:fldChar w:fldCharType="end"/>
      </w:r>
      <w:r w:rsidRPr="00392E0D">
        <w:rPr>
          <w:rFonts w:cs="Arial"/>
        </w:rPr>
        <w:tab/>
      </w:r>
      <w:r w:rsidRPr="00392E0D">
        <w:rPr>
          <w:rFonts w:eastAsiaTheme="minorHAnsi" w:cs="Arial"/>
          <w:lang w:val="en-AU"/>
        </w:rPr>
        <w:t>Australian Capital Territory trends (2009 – 2021) – Emotional Maturity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D1CBD" w:rsidRPr="00392E0D" w14:paraId="56D49C7B" w14:textId="77777777" w:rsidTr="006D110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36F9C9C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27BF4AD0" w14:textId="0E465FE4"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70A5CDC6" w14:textId="78743627"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23D41852" w14:textId="675EFDFA"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1AB5D124" w14:textId="04205DBF"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4C251344" w14:textId="2318004F"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4560F297" w14:textId="605CAEF8"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3347715C" w14:textId="46FE9985"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12164FE3"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583EE2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2154355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4,078</w:t>
            </w:r>
          </w:p>
        </w:tc>
        <w:tc>
          <w:tcPr>
            <w:tcW w:w="1343" w:type="dxa"/>
            <w:tcBorders>
              <w:top w:val="single" w:sz="6" w:space="0" w:color="auto"/>
              <w:left w:val="single" w:sz="6" w:space="0" w:color="auto"/>
              <w:bottom w:val="single" w:sz="6" w:space="0" w:color="auto"/>
              <w:right w:val="single" w:sz="6" w:space="0" w:color="auto"/>
            </w:tcBorders>
          </w:tcPr>
          <w:p w14:paraId="368F4F6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73.9</w:t>
            </w:r>
          </w:p>
        </w:tc>
        <w:tc>
          <w:tcPr>
            <w:tcW w:w="1344" w:type="dxa"/>
            <w:tcBorders>
              <w:top w:val="single" w:sz="6" w:space="0" w:color="auto"/>
              <w:left w:val="single" w:sz="6" w:space="0" w:color="auto"/>
              <w:bottom w:val="single" w:sz="6" w:space="0" w:color="auto"/>
              <w:right w:val="single" w:sz="6" w:space="0" w:color="auto"/>
            </w:tcBorders>
          </w:tcPr>
          <w:p w14:paraId="32E510F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857</w:t>
            </w:r>
          </w:p>
        </w:tc>
        <w:tc>
          <w:tcPr>
            <w:tcW w:w="1343" w:type="dxa"/>
            <w:tcBorders>
              <w:top w:val="single" w:sz="6" w:space="0" w:color="auto"/>
              <w:left w:val="single" w:sz="6" w:space="0" w:color="auto"/>
              <w:bottom w:val="single" w:sz="6" w:space="0" w:color="auto"/>
              <w:right w:val="single" w:sz="6" w:space="0" w:color="auto"/>
            </w:tcBorders>
          </w:tcPr>
          <w:p w14:paraId="18C957B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w:t>
            </w:r>
          </w:p>
        </w:tc>
        <w:tc>
          <w:tcPr>
            <w:tcW w:w="1344" w:type="dxa"/>
            <w:tcBorders>
              <w:top w:val="single" w:sz="6" w:space="0" w:color="auto"/>
              <w:left w:val="single" w:sz="6" w:space="0" w:color="auto"/>
              <w:bottom w:val="single" w:sz="6" w:space="0" w:color="auto"/>
              <w:right w:val="single" w:sz="6" w:space="0" w:color="auto"/>
            </w:tcBorders>
          </w:tcPr>
          <w:p w14:paraId="7F37860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585</w:t>
            </w:r>
          </w:p>
        </w:tc>
        <w:tc>
          <w:tcPr>
            <w:tcW w:w="1343" w:type="dxa"/>
            <w:tcBorders>
              <w:top w:val="single" w:sz="6" w:space="0" w:color="auto"/>
              <w:left w:val="single" w:sz="6" w:space="0" w:color="auto"/>
              <w:bottom w:val="single" w:sz="6" w:space="0" w:color="auto"/>
              <w:right w:val="single" w:sz="6" w:space="0" w:color="auto"/>
            </w:tcBorders>
          </w:tcPr>
          <w:p w14:paraId="101CFC3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w:t>
            </w:r>
          </w:p>
        </w:tc>
        <w:tc>
          <w:tcPr>
            <w:tcW w:w="1344" w:type="dxa"/>
            <w:tcBorders>
              <w:top w:val="single" w:sz="6" w:space="0" w:color="auto"/>
              <w:left w:val="single" w:sz="6" w:space="0" w:color="auto"/>
              <w:bottom w:val="single" w:sz="6" w:space="0" w:color="auto"/>
              <w:right w:val="single" w:sz="6" w:space="0" w:color="auto"/>
            </w:tcBorders>
          </w:tcPr>
          <w:p w14:paraId="43042BE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5,520</w:t>
            </w:r>
          </w:p>
        </w:tc>
      </w:tr>
      <w:tr w:rsidR="007D1CBD" w:rsidRPr="00392E0D" w14:paraId="261AD859"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7D0365B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06613A4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4,173</w:t>
            </w:r>
          </w:p>
        </w:tc>
        <w:tc>
          <w:tcPr>
            <w:tcW w:w="1343" w:type="dxa"/>
            <w:tcBorders>
              <w:top w:val="single" w:sz="6" w:space="0" w:color="auto"/>
              <w:left w:val="single" w:sz="6" w:space="0" w:color="auto"/>
              <w:bottom w:val="single" w:sz="6" w:space="0" w:color="auto"/>
              <w:right w:val="single" w:sz="6" w:space="0" w:color="auto"/>
            </w:tcBorders>
          </w:tcPr>
          <w:p w14:paraId="5B057CC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76.1</w:t>
            </w:r>
          </w:p>
        </w:tc>
        <w:tc>
          <w:tcPr>
            <w:tcW w:w="1344" w:type="dxa"/>
            <w:tcBorders>
              <w:top w:val="single" w:sz="6" w:space="0" w:color="auto"/>
              <w:left w:val="single" w:sz="6" w:space="0" w:color="auto"/>
              <w:bottom w:val="single" w:sz="6" w:space="0" w:color="auto"/>
              <w:right w:val="single" w:sz="6" w:space="0" w:color="auto"/>
            </w:tcBorders>
          </w:tcPr>
          <w:p w14:paraId="7C8FAC1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764</w:t>
            </w:r>
          </w:p>
        </w:tc>
        <w:tc>
          <w:tcPr>
            <w:tcW w:w="1343" w:type="dxa"/>
            <w:tcBorders>
              <w:top w:val="single" w:sz="6" w:space="0" w:color="auto"/>
              <w:left w:val="single" w:sz="6" w:space="0" w:color="auto"/>
              <w:bottom w:val="single" w:sz="6" w:space="0" w:color="auto"/>
              <w:right w:val="single" w:sz="6" w:space="0" w:color="auto"/>
            </w:tcBorders>
          </w:tcPr>
          <w:p w14:paraId="2ECAB0A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13.9</w:t>
            </w:r>
          </w:p>
        </w:tc>
        <w:tc>
          <w:tcPr>
            <w:tcW w:w="1344" w:type="dxa"/>
            <w:tcBorders>
              <w:top w:val="single" w:sz="6" w:space="0" w:color="auto"/>
              <w:left w:val="single" w:sz="6" w:space="0" w:color="auto"/>
              <w:bottom w:val="single" w:sz="6" w:space="0" w:color="auto"/>
              <w:right w:val="single" w:sz="6" w:space="0" w:color="auto"/>
            </w:tcBorders>
          </w:tcPr>
          <w:p w14:paraId="30E6A6B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543</w:t>
            </w:r>
          </w:p>
        </w:tc>
        <w:tc>
          <w:tcPr>
            <w:tcW w:w="1343" w:type="dxa"/>
            <w:tcBorders>
              <w:top w:val="single" w:sz="6" w:space="0" w:color="auto"/>
              <w:left w:val="single" w:sz="6" w:space="0" w:color="auto"/>
              <w:bottom w:val="single" w:sz="6" w:space="0" w:color="auto"/>
              <w:right w:val="single" w:sz="6" w:space="0" w:color="auto"/>
            </w:tcBorders>
          </w:tcPr>
          <w:p w14:paraId="1B979ED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w:t>
            </w:r>
          </w:p>
        </w:tc>
        <w:tc>
          <w:tcPr>
            <w:tcW w:w="1344" w:type="dxa"/>
            <w:tcBorders>
              <w:top w:val="single" w:sz="6" w:space="0" w:color="auto"/>
              <w:left w:val="single" w:sz="6" w:space="0" w:color="auto"/>
              <w:bottom w:val="single" w:sz="6" w:space="0" w:color="auto"/>
              <w:right w:val="single" w:sz="6" w:space="0" w:color="auto"/>
            </w:tcBorders>
          </w:tcPr>
          <w:p w14:paraId="22B5737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5,480</w:t>
            </w:r>
          </w:p>
        </w:tc>
      </w:tr>
      <w:tr w:rsidR="007D1CBD" w:rsidRPr="00392E0D" w14:paraId="5F9356B9"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6EEA927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3800D72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3,910</w:t>
            </w:r>
          </w:p>
        </w:tc>
        <w:tc>
          <w:tcPr>
            <w:tcW w:w="1343" w:type="dxa"/>
            <w:tcBorders>
              <w:top w:val="single" w:sz="6" w:space="0" w:color="auto"/>
              <w:left w:val="single" w:sz="6" w:space="0" w:color="auto"/>
              <w:bottom w:val="single" w:sz="6" w:space="0" w:color="auto"/>
              <w:right w:val="single" w:sz="6" w:space="0" w:color="auto"/>
            </w:tcBorders>
          </w:tcPr>
          <w:p w14:paraId="134B1F2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75.9</w:t>
            </w:r>
          </w:p>
        </w:tc>
        <w:tc>
          <w:tcPr>
            <w:tcW w:w="1344" w:type="dxa"/>
            <w:tcBorders>
              <w:top w:val="single" w:sz="6" w:space="0" w:color="auto"/>
              <w:left w:val="single" w:sz="6" w:space="0" w:color="auto"/>
              <w:bottom w:val="single" w:sz="6" w:space="0" w:color="auto"/>
              <w:right w:val="single" w:sz="6" w:space="0" w:color="auto"/>
            </w:tcBorders>
          </w:tcPr>
          <w:p w14:paraId="43F609A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819</w:t>
            </w:r>
          </w:p>
        </w:tc>
        <w:tc>
          <w:tcPr>
            <w:tcW w:w="1343" w:type="dxa"/>
            <w:tcBorders>
              <w:top w:val="single" w:sz="6" w:space="0" w:color="auto"/>
              <w:left w:val="single" w:sz="6" w:space="0" w:color="auto"/>
              <w:bottom w:val="single" w:sz="6" w:space="0" w:color="auto"/>
              <w:right w:val="single" w:sz="6" w:space="0" w:color="auto"/>
            </w:tcBorders>
          </w:tcPr>
          <w:p w14:paraId="50DD559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15.9</w:t>
            </w:r>
          </w:p>
        </w:tc>
        <w:tc>
          <w:tcPr>
            <w:tcW w:w="1344" w:type="dxa"/>
            <w:tcBorders>
              <w:top w:val="single" w:sz="6" w:space="0" w:color="auto"/>
              <w:left w:val="single" w:sz="6" w:space="0" w:color="auto"/>
              <w:bottom w:val="single" w:sz="6" w:space="0" w:color="auto"/>
              <w:right w:val="single" w:sz="6" w:space="0" w:color="auto"/>
            </w:tcBorders>
          </w:tcPr>
          <w:p w14:paraId="562A2AD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423</w:t>
            </w:r>
          </w:p>
        </w:tc>
        <w:tc>
          <w:tcPr>
            <w:tcW w:w="1343" w:type="dxa"/>
            <w:tcBorders>
              <w:top w:val="single" w:sz="6" w:space="0" w:color="auto"/>
              <w:left w:val="single" w:sz="6" w:space="0" w:color="auto"/>
              <w:bottom w:val="single" w:sz="6" w:space="0" w:color="auto"/>
              <w:right w:val="single" w:sz="6" w:space="0" w:color="auto"/>
            </w:tcBorders>
          </w:tcPr>
          <w:p w14:paraId="2ABB87C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w:t>
            </w:r>
          </w:p>
        </w:tc>
        <w:tc>
          <w:tcPr>
            <w:tcW w:w="1344" w:type="dxa"/>
            <w:tcBorders>
              <w:top w:val="single" w:sz="6" w:space="0" w:color="auto"/>
              <w:left w:val="single" w:sz="6" w:space="0" w:color="auto"/>
              <w:bottom w:val="single" w:sz="6" w:space="0" w:color="auto"/>
              <w:right w:val="single" w:sz="6" w:space="0" w:color="auto"/>
            </w:tcBorders>
          </w:tcPr>
          <w:p w14:paraId="7753A95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5,152</w:t>
            </w:r>
          </w:p>
        </w:tc>
      </w:tr>
      <w:tr w:rsidR="007D1CBD" w:rsidRPr="00392E0D" w14:paraId="4084AEBD"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272F05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7E7C14F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3,651</w:t>
            </w:r>
          </w:p>
        </w:tc>
        <w:tc>
          <w:tcPr>
            <w:tcW w:w="1343" w:type="dxa"/>
            <w:tcBorders>
              <w:top w:val="single" w:sz="6" w:space="0" w:color="auto"/>
              <w:left w:val="single" w:sz="6" w:space="0" w:color="auto"/>
              <w:bottom w:val="single" w:sz="6" w:space="0" w:color="auto"/>
              <w:right w:val="single" w:sz="6" w:space="0" w:color="auto"/>
            </w:tcBorders>
          </w:tcPr>
          <w:p w14:paraId="793D719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79.0</w:t>
            </w:r>
          </w:p>
        </w:tc>
        <w:tc>
          <w:tcPr>
            <w:tcW w:w="1344" w:type="dxa"/>
            <w:tcBorders>
              <w:top w:val="single" w:sz="6" w:space="0" w:color="auto"/>
              <w:left w:val="single" w:sz="6" w:space="0" w:color="auto"/>
              <w:bottom w:val="single" w:sz="6" w:space="0" w:color="auto"/>
              <w:right w:val="single" w:sz="6" w:space="0" w:color="auto"/>
            </w:tcBorders>
          </w:tcPr>
          <w:p w14:paraId="453BA5A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636</w:t>
            </w:r>
          </w:p>
        </w:tc>
        <w:tc>
          <w:tcPr>
            <w:tcW w:w="1343" w:type="dxa"/>
            <w:tcBorders>
              <w:top w:val="single" w:sz="6" w:space="0" w:color="auto"/>
              <w:left w:val="single" w:sz="6" w:space="0" w:color="auto"/>
              <w:bottom w:val="single" w:sz="6" w:space="0" w:color="auto"/>
              <w:right w:val="single" w:sz="6" w:space="0" w:color="auto"/>
            </w:tcBorders>
          </w:tcPr>
          <w:p w14:paraId="1C4F55A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13.8</w:t>
            </w:r>
          </w:p>
        </w:tc>
        <w:tc>
          <w:tcPr>
            <w:tcW w:w="1344" w:type="dxa"/>
            <w:tcBorders>
              <w:top w:val="single" w:sz="6" w:space="0" w:color="auto"/>
              <w:left w:val="single" w:sz="6" w:space="0" w:color="auto"/>
              <w:bottom w:val="single" w:sz="6" w:space="0" w:color="auto"/>
              <w:right w:val="single" w:sz="6" w:space="0" w:color="auto"/>
            </w:tcBorders>
          </w:tcPr>
          <w:p w14:paraId="2A96D5C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333</w:t>
            </w:r>
          </w:p>
        </w:tc>
        <w:tc>
          <w:tcPr>
            <w:tcW w:w="1343" w:type="dxa"/>
            <w:tcBorders>
              <w:top w:val="single" w:sz="6" w:space="0" w:color="auto"/>
              <w:left w:val="single" w:sz="6" w:space="0" w:color="auto"/>
              <w:bottom w:val="single" w:sz="6" w:space="0" w:color="auto"/>
              <w:right w:val="single" w:sz="6" w:space="0" w:color="auto"/>
            </w:tcBorders>
          </w:tcPr>
          <w:p w14:paraId="7793AD1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w:t>
            </w:r>
          </w:p>
        </w:tc>
        <w:tc>
          <w:tcPr>
            <w:tcW w:w="1344" w:type="dxa"/>
            <w:tcBorders>
              <w:top w:val="single" w:sz="6" w:space="0" w:color="auto"/>
              <w:left w:val="single" w:sz="6" w:space="0" w:color="auto"/>
              <w:bottom w:val="single" w:sz="6" w:space="0" w:color="auto"/>
              <w:right w:val="single" w:sz="6" w:space="0" w:color="auto"/>
            </w:tcBorders>
          </w:tcPr>
          <w:p w14:paraId="776388D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4,620</w:t>
            </w:r>
          </w:p>
        </w:tc>
      </w:tr>
      <w:tr w:rsidR="007D1CBD" w:rsidRPr="00392E0D" w14:paraId="1904371D"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D30696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05480E4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3,160</w:t>
            </w:r>
          </w:p>
        </w:tc>
        <w:tc>
          <w:tcPr>
            <w:tcW w:w="1343" w:type="dxa"/>
            <w:tcBorders>
              <w:top w:val="single" w:sz="6" w:space="0" w:color="auto"/>
              <w:left w:val="single" w:sz="6" w:space="0" w:color="auto"/>
              <w:bottom w:val="single" w:sz="6" w:space="0" w:color="auto"/>
              <w:right w:val="single" w:sz="6" w:space="0" w:color="auto"/>
            </w:tcBorders>
          </w:tcPr>
          <w:p w14:paraId="3858715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75.5</w:t>
            </w:r>
          </w:p>
        </w:tc>
        <w:tc>
          <w:tcPr>
            <w:tcW w:w="1344" w:type="dxa"/>
            <w:tcBorders>
              <w:top w:val="single" w:sz="6" w:space="0" w:color="auto"/>
              <w:left w:val="single" w:sz="6" w:space="0" w:color="auto"/>
              <w:bottom w:val="single" w:sz="6" w:space="0" w:color="auto"/>
              <w:right w:val="single" w:sz="6" w:space="0" w:color="auto"/>
            </w:tcBorders>
          </w:tcPr>
          <w:p w14:paraId="33FFFAC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652</w:t>
            </w:r>
          </w:p>
        </w:tc>
        <w:tc>
          <w:tcPr>
            <w:tcW w:w="1343" w:type="dxa"/>
            <w:tcBorders>
              <w:top w:val="single" w:sz="6" w:space="0" w:color="auto"/>
              <w:left w:val="single" w:sz="6" w:space="0" w:color="auto"/>
              <w:bottom w:val="single" w:sz="6" w:space="0" w:color="auto"/>
              <w:right w:val="single" w:sz="6" w:space="0" w:color="auto"/>
            </w:tcBorders>
          </w:tcPr>
          <w:p w14:paraId="7E439F2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344" w:type="dxa"/>
            <w:tcBorders>
              <w:top w:val="single" w:sz="6" w:space="0" w:color="auto"/>
              <w:left w:val="single" w:sz="6" w:space="0" w:color="auto"/>
              <w:bottom w:val="single" w:sz="6" w:space="0" w:color="auto"/>
              <w:right w:val="single" w:sz="6" w:space="0" w:color="auto"/>
            </w:tcBorders>
          </w:tcPr>
          <w:p w14:paraId="033D30E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376</w:t>
            </w:r>
          </w:p>
        </w:tc>
        <w:tc>
          <w:tcPr>
            <w:tcW w:w="1343" w:type="dxa"/>
            <w:tcBorders>
              <w:top w:val="single" w:sz="6" w:space="0" w:color="auto"/>
              <w:left w:val="single" w:sz="6" w:space="0" w:color="auto"/>
              <w:bottom w:val="single" w:sz="6" w:space="0" w:color="auto"/>
              <w:right w:val="single" w:sz="6" w:space="0" w:color="auto"/>
            </w:tcBorders>
          </w:tcPr>
          <w:p w14:paraId="5D89B51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9.0</w:t>
            </w:r>
          </w:p>
        </w:tc>
        <w:tc>
          <w:tcPr>
            <w:tcW w:w="1344" w:type="dxa"/>
            <w:tcBorders>
              <w:top w:val="single" w:sz="6" w:space="0" w:color="auto"/>
              <w:left w:val="single" w:sz="6" w:space="0" w:color="auto"/>
              <w:bottom w:val="single" w:sz="6" w:space="0" w:color="auto"/>
              <w:right w:val="single" w:sz="6" w:space="0" w:color="auto"/>
            </w:tcBorders>
          </w:tcPr>
          <w:p w14:paraId="06F5A69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4,188</w:t>
            </w:r>
          </w:p>
        </w:tc>
      </w:tr>
    </w:tbl>
    <w:p w14:paraId="7A22929D" w14:textId="246399ED" w:rsidR="007D1CBD" w:rsidRPr="00392E0D" w:rsidRDefault="007D1CBD" w:rsidP="007D1CBD">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110</w:t>
      </w:r>
      <w:r w:rsidRPr="00392E0D">
        <w:rPr>
          <w:rFonts w:cs="Arial"/>
        </w:rPr>
        <w:fldChar w:fldCharType="end"/>
      </w:r>
      <w:r w:rsidRPr="00392E0D">
        <w:rPr>
          <w:rFonts w:cs="Arial"/>
        </w:rPr>
        <w:tab/>
      </w:r>
      <w:r w:rsidRPr="00392E0D">
        <w:rPr>
          <w:rFonts w:eastAsiaTheme="minorHAnsi" w:cs="Arial"/>
          <w:lang w:val="en-AU"/>
        </w:rPr>
        <w:t>Australian Capital Territory trends (2009 – 2021) – Language and cognitive skills (school-based)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D1CBD" w:rsidRPr="00392E0D" w14:paraId="01A1B86A" w14:textId="77777777" w:rsidTr="006D110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3CC20AE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7B2A1510" w14:textId="5515DD4C"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18770764" w14:textId="65081083"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2963557B" w14:textId="012DB72B"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62D31477" w14:textId="7F68B1E7"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56C50FB1" w14:textId="70B76A50"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60F7D9CF" w14:textId="25904163"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1F6BB23E" w14:textId="31C85F36"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2B19CC0E"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42C5D5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25060AE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4,611</w:t>
            </w:r>
          </w:p>
        </w:tc>
        <w:tc>
          <w:tcPr>
            <w:tcW w:w="1343" w:type="dxa"/>
            <w:tcBorders>
              <w:top w:val="single" w:sz="6" w:space="0" w:color="auto"/>
              <w:left w:val="single" w:sz="6" w:space="0" w:color="auto"/>
              <w:bottom w:val="single" w:sz="6" w:space="0" w:color="auto"/>
              <w:right w:val="single" w:sz="6" w:space="0" w:color="auto"/>
            </w:tcBorders>
          </w:tcPr>
          <w:p w14:paraId="73DE2B8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83.4</w:t>
            </w:r>
          </w:p>
        </w:tc>
        <w:tc>
          <w:tcPr>
            <w:tcW w:w="1344" w:type="dxa"/>
            <w:tcBorders>
              <w:top w:val="single" w:sz="6" w:space="0" w:color="auto"/>
              <w:left w:val="single" w:sz="6" w:space="0" w:color="auto"/>
              <w:bottom w:val="single" w:sz="6" w:space="0" w:color="auto"/>
              <w:right w:val="single" w:sz="6" w:space="0" w:color="auto"/>
            </w:tcBorders>
          </w:tcPr>
          <w:p w14:paraId="2D37F0A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561</w:t>
            </w:r>
          </w:p>
        </w:tc>
        <w:tc>
          <w:tcPr>
            <w:tcW w:w="1343" w:type="dxa"/>
            <w:tcBorders>
              <w:top w:val="single" w:sz="6" w:space="0" w:color="auto"/>
              <w:left w:val="single" w:sz="6" w:space="0" w:color="auto"/>
              <w:bottom w:val="single" w:sz="6" w:space="0" w:color="auto"/>
              <w:right w:val="single" w:sz="6" w:space="0" w:color="auto"/>
            </w:tcBorders>
          </w:tcPr>
          <w:p w14:paraId="561837C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10.1</w:t>
            </w:r>
          </w:p>
        </w:tc>
        <w:tc>
          <w:tcPr>
            <w:tcW w:w="1344" w:type="dxa"/>
            <w:tcBorders>
              <w:top w:val="single" w:sz="6" w:space="0" w:color="auto"/>
              <w:left w:val="single" w:sz="6" w:space="0" w:color="auto"/>
              <w:bottom w:val="single" w:sz="6" w:space="0" w:color="auto"/>
              <w:right w:val="single" w:sz="6" w:space="0" w:color="auto"/>
            </w:tcBorders>
          </w:tcPr>
          <w:p w14:paraId="7A20592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357</w:t>
            </w:r>
          </w:p>
        </w:tc>
        <w:tc>
          <w:tcPr>
            <w:tcW w:w="1343" w:type="dxa"/>
            <w:tcBorders>
              <w:top w:val="single" w:sz="6" w:space="0" w:color="auto"/>
              <w:left w:val="single" w:sz="6" w:space="0" w:color="auto"/>
              <w:bottom w:val="single" w:sz="6" w:space="0" w:color="auto"/>
              <w:right w:val="single" w:sz="6" w:space="0" w:color="auto"/>
            </w:tcBorders>
          </w:tcPr>
          <w:p w14:paraId="46083BA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w:t>
            </w:r>
          </w:p>
        </w:tc>
        <w:tc>
          <w:tcPr>
            <w:tcW w:w="1344" w:type="dxa"/>
            <w:tcBorders>
              <w:top w:val="single" w:sz="6" w:space="0" w:color="auto"/>
              <w:left w:val="single" w:sz="6" w:space="0" w:color="auto"/>
              <w:bottom w:val="single" w:sz="6" w:space="0" w:color="auto"/>
              <w:right w:val="single" w:sz="6" w:space="0" w:color="auto"/>
            </w:tcBorders>
          </w:tcPr>
          <w:p w14:paraId="44E5487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5,529</w:t>
            </w:r>
          </w:p>
        </w:tc>
      </w:tr>
      <w:tr w:rsidR="007D1CBD" w:rsidRPr="00392E0D" w14:paraId="343604E8"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7B6123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3EE5E61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4,613</w:t>
            </w:r>
          </w:p>
        </w:tc>
        <w:tc>
          <w:tcPr>
            <w:tcW w:w="1343" w:type="dxa"/>
            <w:tcBorders>
              <w:top w:val="single" w:sz="6" w:space="0" w:color="auto"/>
              <w:left w:val="single" w:sz="6" w:space="0" w:color="auto"/>
              <w:bottom w:val="single" w:sz="6" w:space="0" w:color="auto"/>
              <w:right w:val="single" w:sz="6" w:space="0" w:color="auto"/>
            </w:tcBorders>
          </w:tcPr>
          <w:p w14:paraId="14B8712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84.2</w:t>
            </w:r>
          </w:p>
        </w:tc>
        <w:tc>
          <w:tcPr>
            <w:tcW w:w="1344" w:type="dxa"/>
            <w:tcBorders>
              <w:top w:val="single" w:sz="6" w:space="0" w:color="auto"/>
              <w:left w:val="single" w:sz="6" w:space="0" w:color="auto"/>
              <w:bottom w:val="single" w:sz="6" w:space="0" w:color="auto"/>
              <w:right w:val="single" w:sz="6" w:space="0" w:color="auto"/>
            </w:tcBorders>
          </w:tcPr>
          <w:p w14:paraId="02D9772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514</w:t>
            </w:r>
          </w:p>
        </w:tc>
        <w:tc>
          <w:tcPr>
            <w:tcW w:w="1343" w:type="dxa"/>
            <w:tcBorders>
              <w:top w:val="single" w:sz="6" w:space="0" w:color="auto"/>
              <w:left w:val="single" w:sz="6" w:space="0" w:color="auto"/>
              <w:bottom w:val="single" w:sz="6" w:space="0" w:color="auto"/>
              <w:right w:val="single" w:sz="6" w:space="0" w:color="auto"/>
            </w:tcBorders>
          </w:tcPr>
          <w:p w14:paraId="6BBCDD6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w:t>
            </w:r>
          </w:p>
        </w:tc>
        <w:tc>
          <w:tcPr>
            <w:tcW w:w="1344" w:type="dxa"/>
            <w:tcBorders>
              <w:top w:val="single" w:sz="6" w:space="0" w:color="auto"/>
              <w:left w:val="single" w:sz="6" w:space="0" w:color="auto"/>
              <w:bottom w:val="single" w:sz="6" w:space="0" w:color="auto"/>
              <w:right w:val="single" w:sz="6" w:space="0" w:color="auto"/>
            </w:tcBorders>
          </w:tcPr>
          <w:p w14:paraId="4787524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352</w:t>
            </w:r>
          </w:p>
        </w:tc>
        <w:tc>
          <w:tcPr>
            <w:tcW w:w="1343" w:type="dxa"/>
            <w:tcBorders>
              <w:top w:val="single" w:sz="6" w:space="0" w:color="auto"/>
              <w:left w:val="single" w:sz="6" w:space="0" w:color="auto"/>
              <w:bottom w:val="single" w:sz="6" w:space="0" w:color="auto"/>
              <w:right w:val="single" w:sz="6" w:space="0" w:color="auto"/>
            </w:tcBorders>
          </w:tcPr>
          <w:p w14:paraId="2D6D2B4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w:t>
            </w:r>
          </w:p>
        </w:tc>
        <w:tc>
          <w:tcPr>
            <w:tcW w:w="1344" w:type="dxa"/>
            <w:tcBorders>
              <w:top w:val="single" w:sz="6" w:space="0" w:color="auto"/>
              <w:left w:val="single" w:sz="6" w:space="0" w:color="auto"/>
              <w:bottom w:val="single" w:sz="6" w:space="0" w:color="auto"/>
              <w:right w:val="single" w:sz="6" w:space="0" w:color="auto"/>
            </w:tcBorders>
          </w:tcPr>
          <w:p w14:paraId="50219AA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5,479</w:t>
            </w:r>
          </w:p>
        </w:tc>
      </w:tr>
      <w:tr w:rsidR="007D1CBD" w:rsidRPr="00392E0D" w14:paraId="43A24CF1"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1766F9C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6488CAF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4,312</w:t>
            </w:r>
          </w:p>
        </w:tc>
        <w:tc>
          <w:tcPr>
            <w:tcW w:w="1343" w:type="dxa"/>
            <w:tcBorders>
              <w:top w:val="single" w:sz="6" w:space="0" w:color="auto"/>
              <w:left w:val="single" w:sz="6" w:space="0" w:color="auto"/>
              <w:bottom w:val="single" w:sz="6" w:space="0" w:color="auto"/>
              <w:right w:val="single" w:sz="6" w:space="0" w:color="auto"/>
            </w:tcBorders>
          </w:tcPr>
          <w:p w14:paraId="6EDF3BB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83.5</w:t>
            </w:r>
          </w:p>
        </w:tc>
        <w:tc>
          <w:tcPr>
            <w:tcW w:w="1344" w:type="dxa"/>
            <w:tcBorders>
              <w:top w:val="single" w:sz="6" w:space="0" w:color="auto"/>
              <w:left w:val="single" w:sz="6" w:space="0" w:color="auto"/>
              <w:bottom w:val="single" w:sz="6" w:space="0" w:color="auto"/>
              <w:right w:val="single" w:sz="6" w:space="0" w:color="auto"/>
            </w:tcBorders>
          </w:tcPr>
          <w:p w14:paraId="0503FC4F"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549</w:t>
            </w:r>
          </w:p>
        </w:tc>
        <w:tc>
          <w:tcPr>
            <w:tcW w:w="1343" w:type="dxa"/>
            <w:tcBorders>
              <w:top w:val="single" w:sz="6" w:space="0" w:color="auto"/>
              <w:left w:val="single" w:sz="6" w:space="0" w:color="auto"/>
              <w:bottom w:val="single" w:sz="6" w:space="0" w:color="auto"/>
              <w:right w:val="single" w:sz="6" w:space="0" w:color="auto"/>
            </w:tcBorders>
          </w:tcPr>
          <w:p w14:paraId="04F3282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w:t>
            </w:r>
          </w:p>
        </w:tc>
        <w:tc>
          <w:tcPr>
            <w:tcW w:w="1344" w:type="dxa"/>
            <w:tcBorders>
              <w:top w:val="single" w:sz="6" w:space="0" w:color="auto"/>
              <w:left w:val="single" w:sz="6" w:space="0" w:color="auto"/>
              <w:bottom w:val="single" w:sz="6" w:space="0" w:color="auto"/>
              <w:right w:val="single" w:sz="6" w:space="0" w:color="auto"/>
            </w:tcBorders>
          </w:tcPr>
          <w:p w14:paraId="7F586EF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303</w:t>
            </w:r>
          </w:p>
        </w:tc>
        <w:tc>
          <w:tcPr>
            <w:tcW w:w="1343" w:type="dxa"/>
            <w:tcBorders>
              <w:top w:val="single" w:sz="6" w:space="0" w:color="auto"/>
              <w:left w:val="single" w:sz="6" w:space="0" w:color="auto"/>
              <w:bottom w:val="single" w:sz="6" w:space="0" w:color="auto"/>
              <w:right w:val="single" w:sz="6" w:space="0" w:color="auto"/>
            </w:tcBorders>
          </w:tcPr>
          <w:p w14:paraId="7EA674F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w:t>
            </w:r>
          </w:p>
        </w:tc>
        <w:tc>
          <w:tcPr>
            <w:tcW w:w="1344" w:type="dxa"/>
            <w:tcBorders>
              <w:top w:val="single" w:sz="6" w:space="0" w:color="auto"/>
              <w:left w:val="single" w:sz="6" w:space="0" w:color="auto"/>
              <w:bottom w:val="single" w:sz="6" w:space="0" w:color="auto"/>
              <w:right w:val="single" w:sz="6" w:space="0" w:color="auto"/>
            </w:tcBorders>
          </w:tcPr>
          <w:p w14:paraId="52E2033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5,164</w:t>
            </w:r>
          </w:p>
        </w:tc>
      </w:tr>
      <w:tr w:rsidR="007D1CBD" w:rsidRPr="00392E0D" w14:paraId="3BB61FE7"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446E8BF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5FFCA1C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3,987</w:t>
            </w:r>
          </w:p>
        </w:tc>
        <w:tc>
          <w:tcPr>
            <w:tcW w:w="1343" w:type="dxa"/>
            <w:tcBorders>
              <w:top w:val="single" w:sz="6" w:space="0" w:color="auto"/>
              <w:left w:val="single" w:sz="6" w:space="0" w:color="auto"/>
              <w:bottom w:val="single" w:sz="6" w:space="0" w:color="auto"/>
              <w:right w:val="single" w:sz="6" w:space="0" w:color="auto"/>
            </w:tcBorders>
          </w:tcPr>
          <w:p w14:paraId="79D8273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86.5</w:t>
            </w:r>
          </w:p>
        </w:tc>
        <w:tc>
          <w:tcPr>
            <w:tcW w:w="1344" w:type="dxa"/>
            <w:tcBorders>
              <w:top w:val="single" w:sz="6" w:space="0" w:color="auto"/>
              <w:left w:val="single" w:sz="6" w:space="0" w:color="auto"/>
              <w:bottom w:val="single" w:sz="6" w:space="0" w:color="auto"/>
              <w:right w:val="single" w:sz="6" w:space="0" w:color="auto"/>
            </w:tcBorders>
          </w:tcPr>
          <w:p w14:paraId="7465387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440</w:t>
            </w:r>
          </w:p>
        </w:tc>
        <w:tc>
          <w:tcPr>
            <w:tcW w:w="1343" w:type="dxa"/>
            <w:tcBorders>
              <w:top w:val="single" w:sz="6" w:space="0" w:color="auto"/>
              <w:left w:val="single" w:sz="6" w:space="0" w:color="auto"/>
              <w:bottom w:val="single" w:sz="6" w:space="0" w:color="auto"/>
              <w:right w:val="single" w:sz="6" w:space="0" w:color="auto"/>
            </w:tcBorders>
          </w:tcPr>
          <w:p w14:paraId="6A3495E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w:t>
            </w:r>
          </w:p>
        </w:tc>
        <w:tc>
          <w:tcPr>
            <w:tcW w:w="1344" w:type="dxa"/>
            <w:tcBorders>
              <w:top w:val="single" w:sz="6" w:space="0" w:color="auto"/>
              <w:left w:val="single" w:sz="6" w:space="0" w:color="auto"/>
              <w:bottom w:val="single" w:sz="6" w:space="0" w:color="auto"/>
              <w:right w:val="single" w:sz="6" w:space="0" w:color="auto"/>
            </w:tcBorders>
          </w:tcPr>
          <w:p w14:paraId="7E66D8CA"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182</w:t>
            </w:r>
          </w:p>
        </w:tc>
        <w:tc>
          <w:tcPr>
            <w:tcW w:w="1343" w:type="dxa"/>
            <w:tcBorders>
              <w:top w:val="single" w:sz="6" w:space="0" w:color="auto"/>
              <w:left w:val="single" w:sz="6" w:space="0" w:color="auto"/>
              <w:bottom w:val="single" w:sz="6" w:space="0" w:color="auto"/>
              <w:right w:val="single" w:sz="6" w:space="0" w:color="auto"/>
            </w:tcBorders>
          </w:tcPr>
          <w:p w14:paraId="4A97A77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w:t>
            </w:r>
          </w:p>
        </w:tc>
        <w:tc>
          <w:tcPr>
            <w:tcW w:w="1344" w:type="dxa"/>
            <w:tcBorders>
              <w:top w:val="single" w:sz="6" w:space="0" w:color="auto"/>
              <w:left w:val="single" w:sz="6" w:space="0" w:color="auto"/>
              <w:bottom w:val="single" w:sz="6" w:space="0" w:color="auto"/>
              <w:right w:val="single" w:sz="6" w:space="0" w:color="auto"/>
            </w:tcBorders>
          </w:tcPr>
          <w:p w14:paraId="3700FB5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4,609</w:t>
            </w:r>
          </w:p>
        </w:tc>
      </w:tr>
      <w:tr w:rsidR="007D1CBD" w:rsidRPr="00392E0D" w14:paraId="709A6ABF"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54F2B3B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7DE5424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3,505</w:t>
            </w:r>
          </w:p>
        </w:tc>
        <w:tc>
          <w:tcPr>
            <w:tcW w:w="1343" w:type="dxa"/>
            <w:tcBorders>
              <w:top w:val="single" w:sz="6" w:space="0" w:color="auto"/>
              <w:left w:val="single" w:sz="6" w:space="0" w:color="auto"/>
              <w:bottom w:val="single" w:sz="6" w:space="0" w:color="auto"/>
              <w:right w:val="single" w:sz="6" w:space="0" w:color="auto"/>
            </w:tcBorders>
          </w:tcPr>
          <w:p w14:paraId="5F2D877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83.8</w:t>
            </w:r>
          </w:p>
        </w:tc>
        <w:tc>
          <w:tcPr>
            <w:tcW w:w="1344" w:type="dxa"/>
            <w:tcBorders>
              <w:top w:val="single" w:sz="6" w:space="0" w:color="auto"/>
              <w:left w:val="single" w:sz="6" w:space="0" w:color="auto"/>
              <w:bottom w:val="single" w:sz="6" w:space="0" w:color="auto"/>
              <w:right w:val="single" w:sz="6" w:space="0" w:color="auto"/>
            </w:tcBorders>
          </w:tcPr>
          <w:p w14:paraId="70B2FE6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440</w:t>
            </w:r>
          </w:p>
        </w:tc>
        <w:tc>
          <w:tcPr>
            <w:tcW w:w="1343" w:type="dxa"/>
            <w:tcBorders>
              <w:top w:val="single" w:sz="6" w:space="0" w:color="auto"/>
              <w:left w:val="single" w:sz="6" w:space="0" w:color="auto"/>
              <w:bottom w:val="single" w:sz="6" w:space="0" w:color="auto"/>
              <w:right w:val="single" w:sz="6" w:space="0" w:color="auto"/>
            </w:tcBorders>
          </w:tcPr>
          <w:p w14:paraId="1DD6A04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c>
          <w:tcPr>
            <w:tcW w:w="1344" w:type="dxa"/>
            <w:tcBorders>
              <w:top w:val="single" w:sz="6" w:space="0" w:color="auto"/>
              <w:left w:val="single" w:sz="6" w:space="0" w:color="auto"/>
              <w:bottom w:val="single" w:sz="6" w:space="0" w:color="auto"/>
              <w:right w:val="single" w:sz="6" w:space="0" w:color="auto"/>
            </w:tcBorders>
          </w:tcPr>
          <w:p w14:paraId="4DCF2B7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238</w:t>
            </w:r>
          </w:p>
        </w:tc>
        <w:tc>
          <w:tcPr>
            <w:tcW w:w="1343" w:type="dxa"/>
            <w:tcBorders>
              <w:top w:val="single" w:sz="6" w:space="0" w:color="auto"/>
              <w:left w:val="single" w:sz="6" w:space="0" w:color="auto"/>
              <w:bottom w:val="single" w:sz="6" w:space="0" w:color="auto"/>
              <w:right w:val="single" w:sz="6" w:space="0" w:color="auto"/>
            </w:tcBorders>
          </w:tcPr>
          <w:p w14:paraId="1FC2669E"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w:t>
            </w:r>
          </w:p>
        </w:tc>
        <w:tc>
          <w:tcPr>
            <w:tcW w:w="1344" w:type="dxa"/>
            <w:tcBorders>
              <w:top w:val="single" w:sz="6" w:space="0" w:color="auto"/>
              <w:left w:val="single" w:sz="6" w:space="0" w:color="auto"/>
              <w:bottom w:val="single" w:sz="6" w:space="0" w:color="auto"/>
              <w:right w:val="single" w:sz="6" w:space="0" w:color="auto"/>
            </w:tcBorders>
          </w:tcPr>
          <w:p w14:paraId="7FE789B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4,183</w:t>
            </w:r>
          </w:p>
        </w:tc>
      </w:tr>
    </w:tbl>
    <w:p w14:paraId="3E99315C" w14:textId="368F831E" w:rsidR="007D1CBD" w:rsidRPr="00392E0D" w:rsidRDefault="007D1CBD" w:rsidP="007D1CBD">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111</w:t>
      </w:r>
      <w:r w:rsidRPr="00392E0D">
        <w:rPr>
          <w:rFonts w:cs="Arial"/>
        </w:rPr>
        <w:fldChar w:fldCharType="end"/>
      </w:r>
      <w:r w:rsidRPr="00392E0D">
        <w:rPr>
          <w:rFonts w:cs="Arial"/>
        </w:rPr>
        <w:tab/>
      </w:r>
      <w:r w:rsidRPr="00392E0D">
        <w:rPr>
          <w:rFonts w:eastAsiaTheme="minorHAnsi" w:cs="Arial"/>
        </w:rPr>
        <w:t>Australian Capital Territory trends (2009 – 2021) – Communication skills and general knowledge domain</w:t>
      </w:r>
    </w:p>
    <w:tbl>
      <w:tblPr>
        <w:tblW w:w="10378" w:type="dxa"/>
        <w:tblInd w:w="-38" w:type="dxa"/>
        <w:tblLayout w:type="fixed"/>
        <w:tblLook w:val="0000" w:firstRow="0" w:lastRow="0" w:firstColumn="0" w:lastColumn="0" w:noHBand="0" w:noVBand="0"/>
      </w:tblPr>
      <w:tblGrid>
        <w:gridCol w:w="974"/>
        <w:gridCol w:w="1343"/>
        <w:gridCol w:w="1343"/>
        <w:gridCol w:w="1344"/>
        <w:gridCol w:w="1343"/>
        <w:gridCol w:w="1344"/>
        <w:gridCol w:w="1343"/>
        <w:gridCol w:w="1344"/>
      </w:tblGrid>
      <w:tr w:rsidR="007D1CBD" w:rsidRPr="00392E0D" w14:paraId="328ABBE3" w14:textId="77777777" w:rsidTr="006D1102">
        <w:trPr>
          <w:trHeight w:val="845"/>
          <w:tblHeader/>
        </w:trPr>
        <w:tc>
          <w:tcPr>
            <w:tcW w:w="974" w:type="dxa"/>
            <w:tcBorders>
              <w:top w:val="single" w:sz="6" w:space="0" w:color="auto"/>
              <w:left w:val="single" w:sz="6" w:space="0" w:color="auto"/>
              <w:bottom w:val="single" w:sz="6" w:space="0" w:color="auto"/>
              <w:right w:val="single" w:sz="6" w:space="0" w:color="auto"/>
            </w:tcBorders>
            <w:vAlign w:val="bottom"/>
          </w:tcPr>
          <w:p w14:paraId="17310F1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p>
        </w:tc>
        <w:tc>
          <w:tcPr>
            <w:tcW w:w="1343" w:type="dxa"/>
            <w:tcBorders>
              <w:top w:val="single" w:sz="6" w:space="0" w:color="auto"/>
              <w:left w:val="single" w:sz="6" w:space="0" w:color="auto"/>
              <w:bottom w:val="single" w:sz="6" w:space="0" w:color="auto"/>
              <w:right w:val="single" w:sz="6" w:space="0" w:color="auto"/>
            </w:tcBorders>
            <w:vAlign w:val="bottom"/>
          </w:tcPr>
          <w:p w14:paraId="501CFE95" w14:textId="09D99606"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(n)</w:t>
            </w:r>
          </w:p>
        </w:tc>
        <w:tc>
          <w:tcPr>
            <w:tcW w:w="1343" w:type="dxa"/>
            <w:tcBorders>
              <w:top w:val="single" w:sz="6" w:space="0" w:color="auto"/>
              <w:left w:val="single" w:sz="6" w:space="0" w:color="auto"/>
              <w:bottom w:val="single" w:sz="6" w:space="0" w:color="auto"/>
              <w:right w:val="single" w:sz="6" w:space="0" w:color="auto"/>
            </w:tcBorders>
            <w:vAlign w:val="bottom"/>
          </w:tcPr>
          <w:p w14:paraId="035F856E" w14:textId="40161A89"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on track (%)</w:t>
            </w:r>
          </w:p>
        </w:tc>
        <w:tc>
          <w:tcPr>
            <w:tcW w:w="1344" w:type="dxa"/>
            <w:tcBorders>
              <w:top w:val="single" w:sz="6" w:space="0" w:color="auto"/>
              <w:left w:val="single" w:sz="6" w:space="0" w:color="auto"/>
              <w:bottom w:val="single" w:sz="6" w:space="0" w:color="auto"/>
              <w:right w:val="single" w:sz="6" w:space="0" w:color="auto"/>
            </w:tcBorders>
            <w:vAlign w:val="bottom"/>
          </w:tcPr>
          <w:p w14:paraId="028E84A3" w14:textId="73CC529E"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(n)</w:t>
            </w:r>
          </w:p>
        </w:tc>
        <w:tc>
          <w:tcPr>
            <w:tcW w:w="1343" w:type="dxa"/>
            <w:tcBorders>
              <w:top w:val="single" w:sz="6" w:space="0" w:color="auto"/>
              <w:left w:val="single" w:sz="6" w:space="0" w:color="auto"/>
              <w:bottom w:val="single" w:sz="6" w:space="0" w:color="auto"/>
              <w:right w:val="single" w:sz="6" w:space="0" w:color="auto"/>
            </w:tcBorders>
            <w:vAlign w:val="bottom"/>
          </w:tcPr>
          <w:p w14:paraId="3083131E" w14:textId="57AB8844"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at risk (%)</w:t>
            </w:r>
          </w:p>
        </w:tc>
        <w:tc>
          <w:tcPr>
            <w:tcW w:w="1344" w:type="dxa"/>
            <w:tcBorders>
              <w:top w:val="single" w:sz="6" w:space="0" w:color="auto"/>
              <w:left w:val="single" w:sz="6" w:space="0" w:color="auto"/>
              <w:bottom w:val="single" w:sz="6" w:space="0" w:color="auto"/>
              <w:right w:val="single" w:sz="6" w:space="0" w:color="auto"/>
            </w:tcBorders>
            <w:vAlign w:val="bottom"/>
          </w:tcPr>
          <w:p w14:paraId="2F813EB1" w14:textId="4F4E78EA"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(n)</w:t>
            </w:r>
          </w:p>
        </w:tc>
        <w:tc>
          <w:tcPr>
            <w:tcW w:w="1343" w:type="dxa"/>
            <w:tcBorders>
              <w:top w:val="single" w:sz="6" w:space="0" w:color="auto"/>
              <w:left w:val="single" w:sz="6" w:space="0" w:color="auto"/>
              <w:bottom w:val="single" w:sz="6" w:space="0" w:color="auto"/>
              <w:right w:val="single" w:sz="6" w:space="0" w:color="auto"/>
            </w:tcBorders>
            <w:vAlign w:val="bottom"/>
          </w:tcPr>
          <w:p w14:paraId="0C4EE026" w14:textId="72CDF263" w:rsidR="007D1CBD" w:rsidRPr="00392E0D" w:rsidRDefault="00ED2465"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Develop-mentally</w:t>
            </w:r>
            <w:r w:rsidR="007D1CBD" w:rsidRPr="00392E0D">
              <w:rPr>
                <w:rFonts w:ascii="Arial" w:eastAsiaTheme="minorHAnsi" w:hAnsi="Arial" w:cs="Arial"/>
                <w:color w:val="000000"/>
                <w:sz w:val="20"/>
                <w:szCs w:val="20"/>
                <w:lang w:val="en-AU"/>
              </w:rPr>
              <w:t xml:space="preserve"> vulnerable (%)</w:t>
            </w:r>
          </w:p>
        </w:tc>
        <w:tc>
          <w:tcPr>
            <w:tcW w:w="1344" w:type="dxa"/>
            <w:tcBorders>
              <w:top w:val="single" w:sz="6" w:space="0" w:color="auto"/>
              <w:left w:val="single" w:sz="6" w:space="0" w:color="auto"/>
              <w:bottom w:val="single" w:sz="6" w:space="0" w:color="auto"/>
              <w:right w:val="single" w:sz="6" w:space="0" w:color="auto"/>
            </w:tcBorders>
            <w:vAlign w:val="bottom"/>
          </w:tcPr>
          <w:p w14:paraId="48F9CF19" w14:textId="6F7D4623" w:rsidR="007D1CBD" w:rsidRPr="00392E0D" w:rsidRDefault="009B7612"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p>
        </w:tc>
      </w:tr>
      <w:tr w:rsidR="007D1CBD" w:rsidRPr="00392E0D" w14:paraId="0B64D8EB"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F56CA1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c>
          <w:tcPr>
            <w:tcW w:w="1343" w:type="dxa"/>
            <w:tcBorders>
              <w:top w:val="single" w:sz="6" w:space="0" w:color="auto"/>
              <w:left w:val="single" w:sz="6" w:space="0" w:color="auto"/>
              <w:bottom w:val="single" w:sz="6" w:space="0" w:color="auto"/>
              <w:right w:val="single" w:sz="6" w:space="0" w:color="auto"/>
            </w:tcBorders>
          </w:tcPr>
          <w:p w14:paraId="0F93609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3,961</w:t>
            </w:r>
          </w:p>
        </w:tc>
        <w:tc>
          <w:tcPr>
            <w:tcW w:w="1343" w:type="dxa"/>
            <w:tcBorders>
              <w:top w:val="single" w:sz="6" w:space="0" w:color="auto"/>
              <w:left w:val="single" w:sz="6" w:space="0" w:color="auto"/>
              <w:bottom w:val="single" w:sz="6" w:space="0" w:color="auto"/>
              <w:right w:val="single" w:sz="6" w:space="0" w:color="auto"/>
            </w:tcBorders>
          </w:tcPr>
          <w:p w14:paraId="23EC8BD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71.6</w:t>
            </w:r>
          </w:p>
        </w:tc>
        <w:tc>
          <w:tcPr>
            <w:tcW w:w="1344" w:type="dxa"/>
            <w:tcBorders>
              <w:top w:val="single" w:sz="6" w:space="0" w:color="auto"/>
              <w:left w:val="single" w:sz="6" w:space="0" w:color="auto"/>
              <w:bottom w:val="single" w:sz="6" w:space="0" w:color="auto"/>
              <w:right w:val="single" w:sz="6" w:space="0" w:color="auto"/>
            </w:tcBorders>
          </w:tcPr>
          <w:p w14:paraId="44BCB56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1,065</w:t>
            </w:r>
          </w:p>
        </w:tc>
        <w:tc>
          <w:tcPr>
            <w:tcW w:w="1343" w:type="dxa"/>
            <w:tcBorders>
              <w:top w:val="single" w:sz="6" w:space="0" w:color="auto"/>
              <w:left w:val="single" w:sz="6" w:space="0" w:color="auto"/>
              <w:bottom w:val="single" w:sz="6" w:space="0" w:color="auto"/>
              <w:right w:val="single" w:sz="6" w:space="0" w:color="auto"/>
            </w:tcBorders>
          </w:tcPr>
          <w:p w14:paraId="1688208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19.2</w:t>
            </w:r>
          </w:p>
        </w:tc>
        <w:tc>
          <w:tcPr>
            <w:tcW w:w="1344" w:type="dxa"/>
            <w:tcBorders>
              <w:top w:val="single" w:sz="6" w:space="0" w:color="auto"/>
              <w:left w:val="single" w:sz="6" w:space="0" w:color="auto"/>
              <w:bottom w:val="single" w:sz="6" w:space="0" w:color="auto"/>
              <w:right w:val="single" w:sz="6" w:space="0" w:color="auto"/>
            </w:tcBorders>
          </w:tcPr>
          <w:p w14:paraId="7F54113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507</w:t>
            </w:r>
          </w:p>
        </w:tc>
        <w:tc>
          <w:tcPr>
            <w:tcW w:w="1343" w:type="dxa"/>
            <w:tcBorders>
              <w:top w:val="single" w:sz="6" w:space="0" w:color="auto"/>
              <w:left w:val="single" w:sz="6" w:space="0" w:color="auto"/>
              <w:bottom w:val="single" w:sz="6" w:space="0" w:color="auto"/>
              <w:right w:val="single" w:sz="6" w:space="0" w:color="auto"/>
            </w:tcBorders>
          </w:tcPr>
          <w:p w14:paraId="57262E3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w:t>
            </w:r>
          </w:p>
        </w:tc>
        <w:tc>
          <w:tcPr>
            <w:tcW w:w="1344" w:type="dxa"/>
            <w:tcBorders>
              <w:top w:val="single" w:sz="6" w:space="0" w:color="auto"/>
              <w:left w:val="single" w:sz="6" w:space="0" w:color="auto"/>
              <w:bottom w:val="single" w:sz="6" w:space="0" w:color="auto"/>
              <w:right w:val="single" w:sz="6" w:space="0" w:color="auto"/>
            </w:tcBorders>
          </w:tcPr>
          <w:p w14:paraId="6EC80B4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5,533</w:t>
            </w:r>
          </w:p>
        </w:tc>
      </w:tr>
      <w:tr w:rsidR="007D1CBD" w:rsidRPr="00392E0D" w14:paraId="08D7F09B"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36E25F4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3" w:type="dxa"/>
            <w:tcBorders>
              <w:top w:val="single" w:sz="6" w:space="0" w:color="auto"/>
              <w:left w:val="single" w:sz="6" w:space="0" w:color="auto"/>
              <w:bottom w:val="single" w:sz="6" w:space="0" w:color="auto"/>
              <w:right w:val="single" w:sz="6" w:space="0" w:color="auto"/>
            </w:tcBorders>
          </w:tcPr>
          <w:p w14:paraId="256CF6B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3,974</w:t>
            </w:r>
          </w:p>
        </w:tc>
        <w:tc>
          <w:tcPr>
            <w:tcW w:w="1343" w:type="dxa"/>
            <w:tcBorders>
              <w:top w:val="single" w:sz="6" w:space="0" w:color="auto"/>
              <w:left w:val="single" w:sz="6" w:space="0" w:color="auto"/>
              <w:bottom w:val="single" w:sz="6" w:space="0" w:color="auto"/>
              <w:right w:val="single" w:sz="6" w:space="0" w:color="auto"/>
            </w:tcBorders>
          </w:tcPr>
          <w:p w14:paraId="6041838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72.5</w:t>
            </w:r>
          </w:p>
        </w:tc>
        <w:tc>
          <w:tcPr>
            <w:tcW w:w="1344" w:type="dxa"/>
            <w:tcBorders>
              <w:top w:val="single" w:sz="6" w:space="0" w:color="auto"/>
              <w:left w:val="single" w:sz="6" w:space="0" w:color="auto"/>
              <w:bottom w:val="single" w:sz="6" w:space="0" w:color="auto"/>
              <w:right w:val="single" w:sz="6" w:space="0" w:color="auto"/>
            </w:tcBorders>
          </w:tcPr>
          <w:p w14:paraId="4C5EA81B"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1,083</w:t>
            </w:r>
          </w:p>
        </w:tc>
        <w:tc>
          <w:tcPr>
            <w:tcW w:w="1343" w:type="dxa"/>
            <w:tcBorders>
              <w:top w:val="single" w:sz="6" w:space="0" w:color="auto"/>
              <w:left w:val="single" w:sz="6" w:space="0" w:color="auto"/>
              <w:bottom w:val="single" w:sz="6" w:space="0" w:color="auto"/>
              <w:right w:val="single" w:sz="6" w:space="0" w:color="auto"/>
            </w:tcBorders>
          </w:tcPr>
          <w:p w14:paraId="6663EF2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19.7</w:t>
            </w:r>
          </w:p>
        </w:tc>
        <w:tc>
          <w:tcPr>
            <w:tcW w:w="1344" w:type="dxa"/>
            <w:tcBorders>
              <w:top w:val="single" w:sz="6" w:space="0" w:color="auto"/>
              <w:left w:val="single" w:sz="6" w:space="0" w:color="auto"/>
              <w:bottom w:val="single" w:sz="6" w:space="0" w:color="auto"/>
              <w:right w:val="single" w:sz="6" w:space="0" w:color="auto"/>
            </w:tcBorders>
          </w:tcPr>
          <w:p w14:paraId="22DA486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427</w:t>
            </w:r>
          </w:p>
        </w:tc>
        <w:tc>
          <w:tcPr>
            <w:tcW w:w="1343" w:type="dxa"/>
            <w:tcBorders>
              <w:top w:val="single" w:sz="6" w:space="0" w:color="auto"/>
              <w:left w:val="single" w:sz="6" w:space="0" w:color="auto"/>
              <w:bottom w:val="single" w:sz="6" w:space="0" w:color="auto"/>
              <w:right w:val="single" w:sz="6" w:space="0" w:color="auto"/>
            </w:tcBorders>
          </w:tcPr>
          <w:p w14:paraId="2B17F80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w:t>
            </w:r>
          </w:p>
        </w:tc>
        <w:tc>
          <w:tcPr>
            <w:tcW w:w="1344" w:type="dxa"/>
            <w:tcBorders>
              <w:top w:val="single" w:sz="6" w:space="0" w:color="auto"/>
              <w:left w:val="single" w:sz="6" w:space="0" w:color="auto"/>
              <w:bottom w:val="single" w:sz="6" w:space="0" w:color="auto"/>
              <w:right w:val="single" w:sz="6" w:space="0" w:color="auto"/>
            </w:tcBorders>
          </w:tcPr>
          <w:p w14:paraId="5192D3E6"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5,484</w:t>
            </w:r>
          </w:p>
        </w:tc>
      </w:tr>
      <w:tr w:rsidR="007D1CBD" w:rsidRPr="00392E0D" w14:paraId="1EDA848D"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5F3619D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3" w:type="dxa"/>
            <w:tcBorders>
              <w:top w:val="single" w:sz="6" w:space="0" w:color="auto"/>
              <w:left w:val="single" w:sz="6" w:space="0" w:color="auto"/>
              <w:bottom w:val="single" w:sz="6" w:space="0" w:color="auto"/>
              <w:right w:val="single" w:sz="6" w:space="0" w:color="auto"/>
            </w:tcBorders>
          </w:tcPr>
          <w:p w14:paraId="3989208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3,898</w:t>
            </w:r>
          </w:p>
        </w:tc>
        <w:tc>
          <w:tcPr>
            <w:tcW w:w="1343" w:type="dxa"/>
            <w:tcBorders>
              <w:top w:val="single" w:sz="6" w:space="0" w:color="auto"/>
              <w:left w:val="single" w:sz="6" w:space="0" w:color="auto"/>
              <w:bottom w:val="single" w:sz="6" w:space="0" w:color="auto"/>
              <w:right w:val="single" w:sz="6" w:space="0" w:color="auto"/>
            </w:tcBorders>
          </w:tcPr>
          <w:p w14:paraId="5CB2687C"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75.5</w:t>
            </w:r>
          </w:p>
        </w:tc>
        <w:tc>
          <w:tcPr>
            <w:tcW w:w="1344" w:type="dxa"/>
            <w:tcBorders>
              <w:top w:val="single" w:sz="6" w:space="0" w:color="auto"/>
              <w:left w:val="single" w:sz="6" w:space="0" w:color="auto"/>
              <w:bottom w:val="single" w:sz="6" w:space="0" w:color="auto"/>
              <w:right w:val="single" w:sz="6" w:space="0" w:color="auto"/>
            </w:tcBorders>
          </w:tcPr>
          <w:p w14:paraId="435F3DC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870</w:t>
            </w:r>
          </w:p>
        </w:tc>
        <w:tc>
          <w:tcPr>
            <w:tcW w:w="1343" w:type="dxa"/>
            <w:tcBorders>
              <w:top w:val="single" w:sz="6" w:space="0" w:color="auto"/>
              <w:left w:val="single" w:sz="6" w:space="0" w:color="auto"/>
              <w:bottom w:val="single" w:sz="6" w:space="0" w:color="auto"/>
              <w:right w:val="single" w:sz="6" w:space="0" w:color="auto"/>
            </w:tcBorders>
          </w:tcPr>
          <w:p w14:paraId="37D1E83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16.8</w:t>
            </w:r>
          </w:p>
        </w:tc>
        <w:tc>
          <w:tcPr>
            <w:tcW w:w="1344" w:type="dxa"/>
            <w:tcBorders>
              <w:top w:val="single" w:sz="6" w:space="0" w:color="auto"/>
              <w:left w:val="single" w:sz="6" w:space="0" w:color="auto"/>
              <w:bottom w:val="single" w:sz="6" w:space="0" w:color="auto"/>
              <w:right w:val="single" w:sz="6" w:space="0" w:color="auto"/>
            </w:tcBorders>
          </w:tcPr>
          <w:p w14:paraId="0AC74A0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397</w:t>
            </w:r>
          </w:p>
        </w:tc>
        <w:tc>
          <w:tcPr>
            <w:tcW w:w="1343" w:type="dxa"/>
            <w:tcBorders>
              <w:top w:val="single" w:sz="6" w:space="0" w:color="auto"/>
              <w:left w:val="single" w:sz="6" w:space="0" w:color="auto"/>
              <w:bottom w:val="single" w:sz="6" w:space="0" w:color="auto"/>
              <w:right w:val="single" w:sz="6" w:space="0" w:color="auto"/>
            </w:tcBorders>
          </w:tcPr>
          <w:p w14:paraId="1A7078B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w:t>
            </w:r>
          </w:p>
        </w:tc>
        <w:tc>
          <w:tcPr>
            <w:tcW w:w="1344" w:type="dxa"/>
            <w:tcBorders>
              <w:top w:val="single" w:sz="6" w:space="0" w:color="auto"/>
              <w:left w:val="single" w:sz="6" w:space="0" w:color="auto"/>
              <w:bottom w:val="single" w:sz="6" w:space="0" w:color="auto"/>
              <w:right w:val="single" w:sz="6" w:space="0" w:color="auto"/>
            </w:tcBorders>
          </w:tcPr>
          <w:p w14:paraId="67D2D8F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5,165</w:t>
            </w:r>
          </w:p>
        </w:tc>
      </w:tr>
      <w:tr w:rsidR="007D1CBD" w:rsidRPr="00392E0D" w14:paraId="1EE649CA"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401BE2A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3" w:type="dxa"/>
            <w:tcBorders>
              <w:top w:val="single" w:sz="6" w:space="0" w:color="auto"/>
              <w:left w:val="single" w:sz="6" w:space="0" w:color="auto"/>
              <w:bottom w:val="single" w:sz="6" w:space="0" w:color="auto"/>
              <w:right w:val="single" w:sz="6" w:space="0" w:color="auto"/>
            </w:tcBorders>
          </w:tcPr>
          <w:p w14:paraId="08D1DFF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3,393</w:t>
            </w:r>
          </w:p>
        </w:tc>
        <w:tc>
          <w:tcPr>
            <w:tcW w:w="1343" w:type="dxa"/>
            <w:tcBorders>
              <w:top w:val="single" w:sz="6" w:space="0" w:color="auto"/>
              <w:left w:val="single" w:sz="6" w:space="0" w:color="auto"/>
              <w:bottom w:val="single" w:sz="6" w:space="0" w:color="auto"/>
              <w:right w:val="single" w:sz="6" w:space="0" w:color="auto"/>
            </w:tcBorders>
          </w:tcPr>
          <w:p w14:paraId="76896695"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73.4</w:t>
            </w:r>
          </w:p>
        </w:tc>
        <w:tc>
          <w:tcPr>
            <w:tcW w:w="1344" w:type="dxa"/>
            <w:tcBorders>
              <w:top w:val="single" w:sz="6" w:space="0" w:color="auto"/>
              <w:left w:val="single" w:sz="6" w:space="0" w:color="auto"/>
              <w:bottom w:val="single" w:sz="6" w:space="0" w:color="auto"/>
              <w:right w:val="single" w:sz="6" w:space="0" w:color="auto"/>
            </w:tcBorders>
          </w:tcPr>
          <w:p w14:paraId="10316542"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853</w:t>
            </w:r>
          </w:p>
        </w:tc>
        <w:tc>
          <w:tcPr>
            <w:tcW w:w="1343" w:type="dxa"/>
            <w:tcBorders>
              <w:top w:val="single" w:sz="6" w:space="0" w:color="auto"/>
              <w:left w:val="single" w:sz="6" w:space="0" w:color="auto"/>
              <w:bottom w:val="single" w:sz="6" w:space="0" w:color="auto"/>
              <w:right w:val="single" w:sz="6" w:space="0" w:color="auto"/>
            </w:tcBorders>
          </w:tcPr>
          <w:p w14:paraId="520643A8"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18.5</w:t>
            </w:r>
          </w:p>
        </w:tc>
        <w:tc>
          <w:tcPr>
            <w:tcW w:w="1344" w:type="dxa"/>
            <w:tcBorders>
              <w:top w:val="single" w:sz="6" w:space="0" w:color="auto"/>
              <w:left w:val="single" w:sz="6" w:space="0" w:color="auto"/>
              <w:bottom w:val="single" w:sz="6" w:space="0" w:color="auto"/>
              <w:right w:val="single" w:sz="6" w:space="0" w:color="auto"/>
            </w:tcBorders>
          </w:tcPr>
          <w:p w14:paraId="555E6417"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376</w:t>
            </w:r>
          </w:p>
        </w:tc>
        <w:tc>
          <w:tcPr>
            <w:tcW w:w="1343" w:type="dxa"/>
            <w:tcBorders>
              <w:top w:val="single" w:sz="6" w:space="0" w:color="auto"/>
              <w:left w:val="single" w:sz="6" w:space="0" w:color="auto"/>
              <w:bottom w:val="single" w:sz="6" w:space="0" w:color="auto"/>
              <w:right w:val="single" w:sz="6" w:space="0" w:color="auto"/>
            </w:tcBorders>
          </w:tcPr>
          <w:p w14:paraId="21329AF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w:t>
            </w:r>
          </w:p>
        </w:tc>
        <w:tc>
          <w:tcPr>
            <w:tcW w:w="1344" w:type="dxa"/>
            <w:tcBorders>
              <w:top w:val="single" w:sz="6" w:space="0" w:color="auto"/>
              <w:left w:val="single" w:sz="6" w:space="0" w:color="auto"/>
              <w:bottom w:val="single" w:sz="6" w:space="0" w:color="auto"/>
              <w:right w:val="single" w:sz="6" w:space="0" w:color="auto"/>
            </w:tcBorders>
          </w:tcPr>
          <w:p w14:paraId="2D6F38E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4,622</w:t>
            </w:r>
          </w:p>
        </w:tc>
      </w:tr>
      <w:tr w:rsidR="007D1CBD" w:rsidRPr="00392E0D" w14:paraId="547374C6" w14:textId="77777777" w:rsidTr="007D1CBD">
        <w:trPr>
          <w:trHeight w:val="287"/>
        </w:trPr>
        <w:tc>
          <w:tcPr>
            <w:tcW w:w="974" w:type="dxa"/>
            <w:tcBorders>
              <w:top w:val="single" w:sz="6" w:space="0" w:color="auto"/>
              <w:left w:val="single" w:sz="6" w:space="0" w:color="auto"/>
              <w:bottom w:val="single" w:sz="6" w:space="0" w:color="auto"/>
              <w:right w:val="single" w:sz="6" w:space="0" w:color="auto"/>
            </w:tcBorders>
          </w:tcPr>
          <w:p w14:paraId="03A97E6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3" w:type="dxa"/>
            <w:tcBorders>
              <w:top w:val="single" w:sz="6" w:space="0" w:color="auto"/>
              <w:left w:val="single" w:sz="6" w:space="0" w:color="auto"/>
              <w:bottom w:val="single" w:sz="6" w:space="0" w:color="auto"/>
              <w:right w:val="single" w:sz="6" w:space="0" w:color="auto"/>
            </w:tcBorders>
          </w:tcPr>
          <w:p w14:paraId="186251B1"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3,154</w:t>
            </w:r>
          </w:p>
        </w:tc>
        <w:tc>
          <w:tcPr>
            <w:tcW w:w="1343" w:type="dxa"/>
            <w:tcBorders>
              <w:top w:val="single" w:sz="6" w:space="0" w:color="auto"/>
              <w:left w:val="single" w:sz="6" w:space="0" w:color="auto"/>
              <w:bottom w:val="single" w:sz="6" w:space="0" w:color="auto"/>
              <w:right w:val="single" w:sz="6" w:space="0" w:color="auto"/>
            </w:tcBorders>
          </w:tcPr>
          <w:p w14:paraId="0EE4AFD9"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75.2</w:t>
            </w:r>
          </w:p>
        </w:tc>
        <w:tc>
          <w:tcPr>
            <w:tcW w:w="1344" w:type="dxa"/>
            <w:tcBorders>
              <w:top w:val="single" w:sz="6" w:space="0" w:color="auto"/>
              <w:left w:val="single" w:sz="6" w:space="0" w:color="auto"/>
              <w:bottom w:val="single" w:sz="6" w:space="0" w:color="auto"/>
              <w:right w:val="single" w:sz="6" w:space="0" w:color="auto"/>
            </w:tcBorders>
          </w:tcPr>
          <w:p w14:paraId="763AC250"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665</w:t>
            </w:r>
          </w:p>
        </w:tc>
        <w:tc>
          <w:tcPr>
            <w:tcW w:w="1343" w:type="dxa"/>
            <w:tcBorders>
              <w:top w:val="single" w:sz="6" w:space="0" w:color="auto"/>
              <w:left w:val="single" w:sz="6" w:space="0" w:color="auto"/>
              <w:bottom w:val="single" w:sz="6" w:space="0" w:color="auto"/>
              <w:right w:val="single" w:sz="6" w:space="0" w:color="auto"/>
            </w:tcBorders>
          </w:tcPr>
          <w:p w14:paraId="473D76E4"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15.9</w:t>
            </w:r>
          </w:p>
        </w:tc>
        <w:tc>
          <w:tcPr>
            <w:tcW w:w="1344" w:type="dxa"/>
            <w:tcBorders>
              <w:top w:val="single" w:sz="6" w:space="0" w:color="auto"/>
              <w:left w:val="single" w:sz="6" w:space="0" w:color="auto"/>
              <w:bottom w:val="single" w:sz="6" w:space="0" w:color="auto"/>
              <w:right w:val="single" w:sz="6" w:space="0" w:color="auto"/>
            </w:tcBorders>
          </w:tcPr>
          <w:p w14:paraId="1C06DE2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375</w:t>
            </w:r>
          </w:p>
        </w:tc>
        <w:tc>
          <w:tcPr>
            <w:tcW w:w="1343" w:type="dxa"/>
            <w:tcBorders>
              <w:top w:val="single" w:sz="6" w:space="0" w:color="auto"/>
              <w:left w:val="single" w:sz="6" w:space="0" w:color="auto"/>
              <w:bottom w:val="single" w:sz="6" w:space="0" w:color="auto"/>
              <w:right w:val="single" w:sz="6" w:space="0" w:color="auto"/>
            </w:tcBorders>
          </w:tcPr>
          <w:p w14:paraId="4E86138D"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w:t>
            </w:r>
          </w:p>
        </w:tc>
        <w:tc>
          <w:tcPr>
            <w:tcW w:w="1344" w:type="dxa"/>
            <w:tcBorders>
              <w:top w:val="single" w:sz="6" w:space="0" w:color="auto"/>
              <w:left w:val="single" w:sz="6" w:space="0" w:color="auto"/>
              <w:bottom w:val="single" w:sz="6" w:space="0" w:color="auto"/>
              <w:right w:val="single" w:sz="6" w:space="0" w:color="auto"/>
            </w:tcBorders>
          </w:tcPr>
          <w:p w14:paraId="08A8F2B3" w14:textId="77777777" w:rsidR="007D1CBD" w:rsidRPr="00392E0D" w:rsidRDefault="007D1CBD" w:rsidP="007D1CBD">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4,194</w:t>
            </w:r>
          </w:p>
        </w:tc>
      </w:tr>
    </w:tbl>
    <w:p w14:paraId="3819FBF7" w14:textId="77777777" w:rsidR="001E1A5B" w:rsidRPr="00392E0D" w:rsidRDefault="001E1A5B">
      <w:pPr>
        <w:widowControl/>
        <w:autoSpaceDE/>
        <w:autoSpaceDN/>
        <w:rPr>
          <w:rFonts w:ascii="Arial" w:eastAsia="Times New Roman" w:hAnsi="Arial" w:cs="Arial"/>
          <w:sz w:val="20"/>
          <w:szCs w:val="20"/>
        </w:rPr>
        <w:sectPr w:rsidR="001E1A5B" w:rsidRPr="00392E0D" w:rsidSect="00A117EA">
          <w:footerReference w:type="default" r:id="rId32"/>
          <w:pgSz w:w="11906" w:h="16838" w:code="9"/>
          <w:pgMar w:top="851" w:right="851" w:bottom="851" w:left="851" w:header="284" w:footer="340" w:gutter="0"/>
          <w:cols w:space="708"/>
          <w:docGrid w:linePitch="360"/>
        </w:sectPr>
      </w:pPr>
    </w:p>
    <w:p w14:paraId="5BDA8E8A" w14:textId="3527D5E3" w:rsidR="007D1CBD" w:rsidRPr="00392E0D" w:rsidRDefault="00053DF4" w:rsidP="001E1A5B">
      <w:pPr>
        <w:pStyle w:val="Heading1"/>
        <w:rPr>
          <w:rFonts w:cs="Arial"/>
        </w:rPr>
      </w:pPr>
      <w:bookmarkStart w:id="16" w:name="_Toc99530579"/>
      <w:r w:rsidRPr="00392E0D">
        <w:rPr>
          <w:rFonts w:cs="Arial"/>
        </w:rPr>
        <w:lastRenderedPageBreak/>
        <w:t>Appendix 3</w:t>
      </w:r>
      <w:r w:rsidRPr="00392E0D">
        <w:rPr>
          <w:rFonts w:cs="Arial"/>
        </w:rPr>
        <w:tab/>
        <w:t>Demographics of Australian children included in the AEDC</w:t>
      </w:r>
      <w:bookmarkEnd w:id="16"/>
    </w:p>
    <w:p w14:paraId="557A7EAF" w14:textId="071A639A" w:rsidR="001E1A5B" w:rsidRPr="00392E0D" w:rsidRDefault="001E1A5B" w:rsidP="001E1A5B">
      <w:pPr>
        <w:pStyle w:val="Body"/>
        <w:rPr>
          <w:rFonts w:cs="Arial"/>
        </w:rPr>
      </w:pPr>
      <w:r w:rsidRPr="00392E0D">
        <w:rPr>
          <w:rFonts w:cs="Arial"/>
        </w:rPr>
        <w:t>Nationally, just over 305,000 children in their first year of full-time school participated in the 2021 AEDC, equating to 95.5 per cent of eligible children.</w:t>
      </w:r>
    </w:p>
    <w:p w14:paraId="544524EE" w14:textId="1A6BC039" w:rsidR="00053DF4" w:rsidRPr="00392E0D" w:rsidRDefault="001E1A5B" w:rsidP="001E1A5B">
      <w:pPr>
        <w:pStyle w:val="Body"/>
        <w:rPr>
          <w:rFonts w:cs="Arial"/>
        </w:rPr>
      </w:pPr>
      <w:r w:rsidRPr="00392E0D">
        <w:rPr>
          <w:rFonts w:cs="Arial"/>
        </w:rPr>
        <w:t>Over 17,500 teachers from 7,470 schools contributed to the results, representing 95.7 per cent of eligible schools.</w:t>
      </w:r>
    </w:p>
    <w:p w14:paraId="32BA03CE" w14:textId="1305E199" w:rsidR="001E1A5B" w:rsidRPr="00392E0D" w:rsidRDefault="001E1A5B" w:rsidP="001E1A5B">
      <w:pPr>
        <w:pStyle w:val="Heading2"/>
        <w:rPr>
          <w:rFonts w:cs="Arial"/>
        </w:rPr>
      </w:pPr>
      <w:r w:rsidRPr="00392E0D">
        <w:rPr>
          <w:rFonts w:cs="Arial"/>
        </w:rPr>
        <w:t>Participation in the AEDC across Australia</w:t>
      </w:r>
    </w:p>
    <w:p w14:paraId="5956717F" w14:textId="1C221316" w:rsidR="001E1A5B" w:rsidRPr="00392E0D" w:rsidRDefault="001E1A5B" w:rsidP="001E1A5B">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112</w:t>
      </w:r>
      <w:r w:rsidRPr="00392E0D">
        <w:rPr>
          <w:rFonts w:cs="Arial"/>
        </w:rPr>
        <w:fldChar w:fldCharType="end"/>
      </w:r>
      <w:r w:rsidRPr="00392E0D">
        <w:rPr>
          <w:rFonts w:cs="Arial"/>
        </w:rPr>
        <w:tab/>
      </w:r>
      <w:r w:rsidRPr="00392E0D">
        <w:rPr>
          <w:rFonts w:eastAsiaTheme="minorHAnsi" w:cs="Arial"/>
          <w:lang w:val="en-AU"/>
        </w:rPr>
        <w:t>Number of children, schools and teachers participating in the AEDC nationally, by collection cycle</w:t>
      </w:r>
    </w:p>
    <w:tbl>
      <w:tblPr>
        <w:tblW w:w="10269" w:type="dxa"/>
        <w:tblInd w:w="-30" w:type="dxa"/>
        <w:tblLayout w:type="fixed"/>
        <w:tblLook w:val="0000" w:firstRow="0" w:lastRow="0" w:firstColumn="0" w:lastColumn="0" w:noHBand="0" w:noVBand="0"/>
      </w:tblPr>
      <w:tblGrid>
        <w:gridCol w:w="3566"/>
        <w:gridCol w:w="1340"/>
        <w:gridCol w:w="1341"/>
        <w:gridCol w:w="1340"/>
        <w:gridCol w:w="1341"/>
        <w:gridCol w:w="1341"/>
      </w:tblGrid>
      <w:tr w:rsidR="001E1A5B" w:rsidRPr="00392E0D" w14:paraId="49605E0C" w14:textId="77777777" w:rsidTr="00F009E4">
        <w:trPr>
          <w:cantSplit/>
          <w:trHeight w:val="20"/>
          <w:tblHeader/>
        </w:trPr>
        <w:tc>
          <w:tcPr>
            <w:tcW w:w="3566" w:type="dxa"/>
            <w:tcBorders>
              <w:top w:val="single" w:sz="6" w:space="0" w:color="auto"/>
              <w:left w:val="single" w:sz="6" w:space="0" w:color="auto"/>
              <w:bottom w:val="single" w:sz="6" w:space="0" w:color="auto"/>
              <w:right w:val="single" w:sz="6" w:space="0" w:color="auto"/>
            </w:tcBorders>
            <w:vAlign w:val="bottom"/>
          </w:tcPr>
          <w:p w14:paraId="03C158ED" w14:textId="77777777" w:rsidR="001E1A5B" w:rsidRPr="00392E0D" w:rsidRDefault="001E1A5B" w:rsidP="00325C79">
            <w:pPr>
              <w:widowControl/>
              <w:adjustRightInd w:val="0"/>
              <w:spacing w:before="60" w:after="60"/>
              <w:jc w:val="center"/>
              <w:rPr>
                <w:rFonts w:ascii="Arial" w:eastAsiaTheme="minorHAnsi" w:hAnsi="Arial" w:cs="Arial"/>
                <w:color w:val="000000"/>
                <w:sz w:val="20"/>
                <w:szCs w:val="20"/>
                <w:lang w:val="en-AU"/>
              </w:rPr>
            </w:pPr>
          </w:p>
        </w:tc>
        <w:tc>
          <w:tcPr>
            <w:tcW w:w="1340" w:type="dxa"/>
            <w:tcBorders>
              <w:top w:val="single" w:sz="6" w:space="0" w:color="auto"/>
              <w:left w:val="single" w:sz="6" w:space="0" w:color="auto"/>
              <w:bottom w:val="single" w:sz="6" w:space="0" w:color="auto"/>
              <w:right w:val="single" w:sz="6" w:space="0" w:color="auto"/>
            </w:tcBorders>
            <w:vAlign w:val="bottom"/>
          </w:tcPr>
          <w:p w14:paraId="2B7D2858" w14:textId="77777777" w:rsidR="001E1A5B" w:rsidRPr="00392E0D" w:rsidRDefault="001E1A5B" w:rsidP="00325C7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w:t>
            </w:r>
          </w:p>
        </w:tc>
        <w:tc>
          <w:tcPr>
            <w:tcW w:w="1341" w:type="dxa"/>
            <w:tcBorders>
              <w:top w:val="single" w:sz="6" w:space="0" w:color="auto"/>
              <w:left w:val="single" w:sz="6" w:space="0" w:color="auto"/>
              <w:bottom w:val="single" w:sz="6" w:space="0" w:color="auto"/>
              <w:right w:val="single" w:sz="6" w:space="0" w:color="auto"/>
            </w:tcBorders>
            <w:vAlign w:val="bottom"/>
          </w:tcPr>
          <w:p w14:paraId="7B81888D" w14:textId="77777777" w:rsidR="001E1A5B" w:rsidRPr="00392E0D" w:rsidRDefault="001E1A5B" w:rsidP="00325C7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w:t>
            </w:r>
          </w:p>
        </w:tc>
        <w:tc>
          <w:tcPr>
            <w:tcW w:w="1340" w:type="dxa"/>
            <w:tcBorders>
              <w:top w:val="single" w:sz="6" w:space="0" w:color="auto"/>
              <w:left w:val="single" w:sz="6" w:space="0" w:color="auto"/>
              <w:bottom w:val="single" w:sz="6" w:space="0" w:color="auto"/>
              <w:right w:val="single" w:sz="6" w:space="0" w:color="auto"/>
            </w:tcBorders>
            <w:vAlign w:val="bottom"/>
          </w:tcPr>
          <w:p w14:paraId="336083D8" w14:textId="77777777" w:rsidR="001E1A5B" w:rsidRPr="00392E0D" w:rsidRDefault="001E1A5B" w:rsidP="00325C7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w:t>
            </w:r>
          </w:p>
        </w:tc>
        <w:tc>
          <w:tcPr>
            <w:tcW w:w="1341" w:type="dxa"/>
            <w:tcBorders>
              <w:top w:val="single" w:sz="6" w:space="0" w:color="auto"/>
              <w:left w:val="single" w:sz="6" w:space="0" w:color="auto"/>
              <w:bottom w:val="single" w:sz="6" w:space="0" w:color="auto"/>
              <w:right w:val="single" w:sz="6" w:space="0" w:color="auto"/>
            </w:tcBorders>
            <w:vAlign w:val="bottom"/>
          </w:tcPr>
          <w:p w14:paraId="18AEC605" w14:textId="77777777" w:rsidR="001E1A5B" w:rsidRPr="00392E0D" w:rsidRDefault="001E1A5B" w:rsidP="00325C7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w:t>
            </w:r>
          </w:p>
        </w:tc>
        <w:tc>
          <w:tcPr>
            <w:tcW w:w="1341" w:type="dxa"/>
            <w:tcBorders>
              <w:top w:val="single" w:sz="6" w:space="0" w:color="auto"/>
              <w:left w:val="single" w:sz="6" w:space="0" w:color="auto"/>
              <w:bottom w:val="single" w:sz="6" w:space="0" w:color="auto"/>
              <w:right w:val="single" w:sz="6" w:space="0" w:color="auto"/>
            </w:tcBorders>
            <w:vAlign w:val="bottom"/>
          </w:tcPr>
          <w:p w14:paraId="03EF6B69" w14:textId="77777777" w:rsidR="001E1A5B" w:rsidRPr="00392E0D" w:rsidRDefault="001E1A5B" w:rsidP="00325C7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w:t>
            </w:r>
          </w:p>
        </w:tc>
      </w:tr>
      <w:tr w:rsidR="001E1A5B" w:rsidRPr="00392E0D" w14:paraId="242F1FB3" w14:textId="77777777" w:rsidTr="00325C79">
        <w:trPr>
          <w:trHeight w:val="20"/>
        </w:trPr>
        <w:tc>
          <w:tcPr>
            <w:tcW w:w="3566" w:type="dxa"/>
            <w:tcBorders>
              <w:top w:val="single" w:sz="6" w:space="0" w:color="auto"/>
              <w:left w:val="single" w:sz="6" w:space="0" w:color="auto"/>
              <w:bottom w:val="single" w:sz="6" w:space="0" w:color="auto"/>
              <w:right w:val="single" w:sz="6" w:space="0" w:color="auto"/>
            </w:tcBorders>
          </w:tcPr>
          <w:p w14:paraId="1104D531" w14:textId="0404C412" w:rsidR="001E1A5B" w:rsidRPr="00392E0D" w:rsidRDefault="009B7612"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Total n</w:t>
            </w:r>
            <w:r w:rsidR="001E1A5B" w:rsidRPr="00392E0D">
              <w:rPr>
                <w:rFonts w:ascii="Arial" w:eastAsiaTheme="minorHAnsi" w:hAnsi="Arial" w:cs="Arial"/>
                <w:color w:val="000000"/>
                <w:sz w:val="20"/>
                <w:szCs w:val="20"/>
                <w:lang w:val="en-AU"/>
              </w:rPr>
              <w:t>umber of children included (n)</w:t>
            </w:r>
          </w:p>
        </w:tc>
        <w:tc>
          <w:tcPr>
            <w:tcW w:w="1340" w:type="dxa"/>
            <w:tcBorders>
              <w:top w:val="single" w:sz="6" w:space="0" w:color="auto"/>
              <w:left w:val="single" w:sz="6" w:space="0" w:color="auto"/>
              <w:bottom w:val="single" w:sz="6" w:space="0" w:color="auto"/>
              <w:right w:val="single" w:sz="6" w:space="0" w:color="auto"/>
            </w:tcBorders>
          </w:tcPr>
          <w:p w14:paraId="017382AF"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261,147</w:t>
            </w:r>
          </w:p>
        </w:tc>
        <w:tc>
          <w:tcPr>
            <w:tcW w:w="1341" w:type="dxa"/>
            <w:tcBorders>
              <w:top w:val="single" w:sz="6" w:space="0" w:color="auto"/>
              <w:left w:val="single" w:sz="6" w:space="0" w:color="auto"/>
              <w:bottom w:val="single" w:sz="6" w:space="0" w:color="auto"/>
              <w:right w:val="single" w:sz="6" w:space="0" w:color="auto"/>
            </w:tcBorders>
          </w:tcPr>
          <w:p w14:paraId="47692ACC"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289,973</w:t>
            </w:r>
          </w:p>
        </w:tc>
        <w:tc>
          <w:tcPr>
            <w:tcW w:w="1340" w:type="dxa"/>
            <w:tcBorders>
              <w:top w:val="single" w:sz="6" w:space="0" w:color="auto"/>
              <w:left w:val="single" w:sz="6" w:space="0" w:color="auto"/>
              <w:bottom w:val="single" w:sz="6" w:space="0" w:color="auto"/>
              <w:right w:val="single" w:sz="6" w:space="0" w:color="auto"/>
            </w:tcBorders>
          </w:tcPr>
          <w:p w14:paraId="289BA8EE"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302,003</w:t>
            </w:r>
          </w:p>
        </w:tc>
        <w:tc>
          <w:tcPr>
            <w:tcW w:w="1341" w:type="dxa"/>
            <w:tcBorders>
              <w:top w:val="single" w:sz="6" w:space="0" w:color="auto"/>
              <w:left w:val="single" w:sz="6" w:space="0" w:color="auto"/>
              <w:bottom w:val="single" w:sz="6" w:space="0" w:color="auto"/>
              <w:right w:val="single" w:sz="6" w:space="0" w:color="auto"/>
            </w:tcBorders>
          </w:tcPr>
          <w:p w14:paraId="76AC8913"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308,953</w:t>
            </w:r>
          </w:p>
        </w:tc>
        <w:tc>
          <w:tcPr>
            <w:tcW w:w="1341" w:type="dxa"/>
            <w:tcBorders>
              <w:top w:val="single" w:sz="6" w:space="0" w:color="auto"/>
              <w:left w:val="single" w:sz="6" w:space="0" w:color="auto"/>
              <w:bottom w:val="single" w:sz="6" w:space="0" w:color="auto"/>
              <w:right w:val="single" w:sz="6" w:space="0" w:color="auto"/>
            </w:tcBorders>
          </w:tcPr>
          <w:p w14:paraId="54139D34"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305,015</w:t>
            </w:r>
          </w:p>
        </w:tc>
      </w:tr>
      <w:tr w:rsidR="001E1A5B" w:rsidRPr="00392E0D" w14:paraId="5764E682" w14:textId="77777777" w:rsidTr="00325C79">
        <w:trPr>
          <w:trHeight w:val="20"/>
        </w:trPr>
        <w:tc>
          <w:tcPr>
            <w:tcW w:w="3566" w:type="dxa"/>
            <w:tcBorders>
              <w:top w:val="single" w:sz="6" w:space="0" w:color="auto"/>
              <w:left w:val="single" w:sz="6" w:space="0" w:color="auto"/>
              <w:bottom w:val="single" w:sz="6" w:space="0" w:color="auto"/>
              <w:right w:val="single" w:sz="6" w:space="0" w:color="auto"/>
            </w:tcBorders>
          </w:tcPr>
          <w:p w14:paraId="3EDFE2D4"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Teachers contributing to the results</w:t>
            </w:r>
          </w:p>
        </w:tc>
        <w:tc>
          <w:tcPr>
            <w:tcW w:w="1340" w:type="dxa"/>
            <w:tcBorders>
              <w:top w:val="single" w:sz="6" w:space="0" w:color="auto"/>
              <w:left w:val="single" w:sz="6" w:space="0" w:color="auto"/>
              <w:bottom w:val="single" w:sz="6" w:space="0" w:color="auto"/>
              <w:right w:val="single" w:sz="6" w:space="0" w:color="auto"/>
            </w:tcBorders>
          </w:tcPr>
          <w:p w14:paraId="2E0DBFD3"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15,522</w:t>
            </w:r>
          </w:p>
        </w:tc>
        <w:tc>
          <w:tcPr>
            <w:tcW w:w="1341" w:type="dxa"/>
            <w:tcBorders>
              <w:top w:val="single" w:sz="6" w:space="0" w:color="auto"/>
              <w:left w:val="single" w:sz="6" w:space="0" w:color="auto"/>
              <w:bottom w:val="single" w:sz="6" w:space="0" w:color="auto"/>
              <w:right w:val="single" w:sz="6" w:space="0" w:color="auto"/>
            </w:tcBorders>
          </w:tcPr>
          <w:p w14:paraId="6084CF34"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16,425</w:t>
            </w:r>
          </w:p>
        </w:tc>
        <w:tc>
          <w:tcPr>
            <w:tcW w:w="1340" w:type="dxa"/>
            <w:tcBorders>
              <w:top w:val="single" w:sz="6" w:space="0" w:color="auto"/>
              <w:left w:val="single" w:sz="6" w:space="0" w:color="auto"/>
              <w:bottom w:val="single" w:sz="6" w:space="0" w:color="auto"/>
              <w:right w:val="single" w:sz="6" w:space="0" w:color="auto"/>
            </w:tcBorders>
          </w:tcPr>
          <w:p w14:paraId="620DD7A7"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16,968</w:t>
            </w:r>
          </w:p>
        </w:tc>
        <w:tc>
          <w:tcPr>
            <w:tcW w:w="1341" w:type="dxa"/>
            <w:tcBorders>
              <w:top w:val="single" w:sz="6" w:space="0" w:color="auto"/>
              <w:left w:val="single" w:sz="6" w:space="0" w:color="auto"/>
              <w:bottom w:val="single" w:sz="6" w:space="0" w:color="auto"/>
              <w:right w:val="single" w:sz="6" w:space="0" w:color="auto"/>
            </w:tcBorders>
          </w:tcPr>
          <w:p w14:paraId="481712BC"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17,508</w:t>
            </w:r>
          </w:p>
        </w:tc>
        <w:tc>
          <w:tcPr>
            <w:tcW w:w="1341" w:type="dxa"/>
            <w:tcBorders>
              <w:top w:val="single" w:sz="6" w:space="0" w:color="auto"/>
              <w:left w:val="single" w:sz="6" w:space="0" w:color="auto"/>
              <w:bottom w:val="single" w:sz="6" w:space="0" w:color="auto"/>
              <w:right w:val="single" w:sz="6" w:space="0" w:color="auto"/>
            </w:tcBorders>
          </w:tcPr>
          <w:p w14:paraId="383693CF"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17,571</w:t>
            </w:r>
          </w:p>
        </w:tc>
      </w:tr>
      <w:tr w:rsidR="001E1A5B" w:rsidRPr="00392E0D" w14:paraId="5A9674A3" w14:textId="77777777" w:rsidTr="00325C79">
        <w:trPr>
          <w:trHeight w:val="20"/>
        </w:trPr>
        <w:tc>
          <w:tcPr>
            <w:tcW w:w="3566" w:type="dxa"/>
            <w:tcBorders>
              <w:top w:val="single" w:sz="6" w:space="0" w:color="auto"/>
              <w:left w:val="single" w:sz="6" w:space="0" w:color="auto"/>
              <w:bottom w:val="single" w:sz="6" w:space="0" w:color="auto"/>
              <w:right w:val="single" w:sz="6" w:space="0" w:color="auto"/>
            </w:tcBorders>
          </w:tcPr>
          <w:p w14:paraId="54EBEE87"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Schools contributing to the results</w:t>
            </w:r>
          </w:p>
        </w:tc>
        <w:tc>
          <w:tcPr>
            <w:tcW w:w="1340" w:type="dxa"/>
            <w:tcBorders>
              <w:top w:val="single" w:sz="6" w:space="0" w:color="auto"/>
              <w:left w:val="single" w:sz="6" w:space="0" w:color="auto"/>
              <w:bottom w:val="single" w:sz="6" w:space="0" w:color="auto"/>
              <w:right w:val="single" w:sz="6" w:space="0" w:color="auto"/>
            </w:tcBorders>
          </w:tcPr>
          <w:p w14:paraId="7A2AA10F"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7,422</w:t>
            </w:r>
          </w:p>
        </w:tc>
        <w:tc>
          <w:tcPr>
            <w:tcW w:w="1341" w:type="dxa"/>
            <w:tcBorders>
              <w:top w:val="single" w:sz="6" w:space="0" w:color="auto"/>
              <w:left w:val="single" w:sz="6" w:space="0" w:color="auto"/>
              <w:bottom w:val="single" w:sz="6" w:space="0" w:color="auto"/>
              <w:right w:val="single" w:sz="6" w:space="0" w:color="auto"/>
            </w:tcBorders>
          </w:tcPr>
          <w:p w14:paraId="5071AB7E"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7,415</w:t>
            </w:r>
          </w:p>
        </w:tc>
        <w:tc>
          <w:tcPr>
            <w:tcW w:w="1340" w:type="dxa"/>
            <w:tcBorders>
              <w:top w:val="single" w:sz="6" w:space="0" w:color="auto"/>
              <w:left w:val="single" w:sz="6" w:space="0" w:color="auto"/>
              <w:bottom w:val="single" w:sz="6" w:space="0" w:color="auto"/>
              <w:right w:val="single" w:sz="6" w:space="0" w:color="auto"/>
            </w:tcBorders>
          </w:tcPr>
          <w:p w14:paraId="33CCE21B"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7,510</w:t>
            </w:r>
          </w:p>
        </w:tc>
        <w:tc>
          <w:tcPr>
            <w:tcW w:w="1341" w:type="dxa"/>
            <w:tcBorders>
              <w:top w:val="single" w:sz="6" w:space="0" w:color="auto"/>
              <w:left w:val="single" w:sz="6" w:space="0" w:color="auto"/>
              <w:bottom w:val="single" w:sz="6" w:space="0" w:color="auto"/>
              <w:right w:val="single" w:sz="6" w:space="0" w:color="auto"/>
            </w:tcBorders>
          </w:tcPr>
          <w:p w14:paraId="560AFDC6"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7,507</w:t>
            </w:r>
          </w:p>
        </w:tc>
        <w:tc>
          <w:tcPr>
            <w:tcW w:w="1341" w:type="dxa"/>
            <w:tcBorders>
              <w:top w:val="single" w:sz="6" w:space="0" w:color="auto"/>
              <w:left w:val="single" w:sz="6" w:space="0" w:color="auto"/>
              <w:bottom w:val="single" w:sz="6" w:space="0" w:color="auto"/>
              <w:right w:val="single" w:sz="6" w:space="0" w:color="auto"/>
            </w:tcBorders>
          </w:tcPr>
          <w:p w14:paraId="7EB67835"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7,470</w:t>
            </w:r>
          </w:p>
        </w:tc>
      </w:tr>
    </w:tbl>
    <w:p w14:paraId="1D61EDFF" w14:textId="047081AE" w:rsidR="001E1A5B" w:rsidRPr="00392E0D" w:rsidRDefault="001E1A5B" w:rsidP="001E1A5B">
      <w:pPr>
        <w:pStyle w:val="Caption"/>
        <w:rPr>
          <w:rFonts w:eastAsiaTheme="minorHAnsi" w:cs="Arial"/>
          <w:lang w:val="en-AU"/>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113</w:t>
      </w:r>
      <w:r w:rsidRPr="00392E0D">
        <w:rPr>
          <w:rFonts w:cs="Arial"/>
        </w:rPr>
        <w:fldChar w:fldCharType="end"/>
      </w:r>
      <w:r w:rsidRPr="00392E0D">
        <w:rPr>
          <w:rFonts w:cs="Arial"/>
        </w:rPr>
        <w:tab/>
      </w:r>
      <w:r w:rsidRPr="00392E0D">
        <w:rPr>
          <w:rFonts w:eastAsiaTheme="minorHAnsi" w:cs="Arial"/>
          <w:lang w:val="en-AU"/>
        </w:rPr>
        <w:t>Children included in the AEDC by state and territory, by collection cycle</w:t>
      </w:r>
    </w:p>
    <w:tbl>
      <w:tblPr>
        <w:tblW w:w="14626" w:type="dxa"/>
        <w:tblInd w:w="-30" w:type="dxa"/>
        <w:tblLayout w:type="fixed"/>
        <w:tblLook w:val="0000" w:firstRow="0" w:lastRow="0" w:firstColumn="0" w:lastColumn="0" w:noHBand="0" w:noVBand="0"/>
      </w:tblPr>
      <w:tblGrid>
        <w:gridCol w:w="2716"/>
        <w:gridCol w:w="1191"/>
        <w:gridCol w:w="1191"/>
        <w:gridCol w:w="1191"/>
        <w:gridCol w:w="1191"/>
        <w:gridCol w:w="1191"/>
        <w:gridCol w:w="1191"/>
        <w:gridCol w:w="1191"/>
        <w:gridCol w:w="1191"/>
        <w:gridCol w:w="1191"/>
        <w:gridCol w:w="1191"/>
      </w:tblGrid>
      <w:tr w:rsidR="001E1A5B" w:rsidRPr="00392E0D" w14:paraId="2D1D5E77" w14:textId="77777777" w:rsidTr="00F009E4">
        <w:trPr>
          <w:trHeight w:val="57"/>
          <w:tblHeader/>
        </w:trPr>
        <w:tc>
          <w:tcPr>
            <w:tcW w:w="2716" w:type="dxa"/>
            <w:tcBorders>
              <w:top w:val="single" w:sz="6" w:space="0" w:color="auto"/>
              <w:left w:val="single" w:sz="6" w:space="0" w:color="auto"/>
              <w:bottom w:val="single" w:sz="6" w:space="0" w:color="auto"/>
              <w:right w:val="single" w:sz="6" w:space="0" w:color="auto"/>
            </w:tcBorders>
          </w:tcPr>
          <w:p w14:paraId="06BACAFB"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Geography</w:t>
            </w:r>
          </w:p>
        </w:tc>
        <w:tc>
          <w:tcPr>
            <w:tcW w:w="1191" w:type="dxa"/>
            <w:tcBorders>
              <w:top w:val="single" w:sz="6" w:space="0" w:color="auto"/>
              <w:left w:val="single" w:sz="6" w:space="0" w:color="auto"/>
              <w:bottom w:val="single" w:sz="6" w:space="0" w:color="auto"/>
              <w:right w:val="single" w:sz="6" w:space="0" w:color="auto"/>
            </w:tcBorders>
          </w:tcPr>
          <w:p w14:paraId="4709BD73"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 (n)</w:t>
            </w:r>
          </w:p>
        </w:tc>
        <w:tc>
          <w:tcPr>
            <w:tcW w:w="1191" w:type="dxa"/>
            <w:tcBorders>
              <w:top w:val="single" w:sz="6" w:space="0" w:color="auto"/>
              <w:left w:val="single" w:sz="6" w:space="0" w:color="auto"/>
              <w:bottom w:val="single" w:sz="6" w:space="0" w:color="auto"/>
              <w:right w:val="single" w:sz="6" w:space="0" w:color="auto"/>
            </w:tcBorders>
          </w:tcPr>
          <w:p w14:paraId="5BB5BC71"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 (%)</w:t>
            </w:r>
          </w:p>
        </w:tc>
        <w:tc>
          <w:tcPr>
            <w:tcW w:w="1191" w:type="dxa"/>
            <w:tcBorders>
              <w:top w:val="single" w:sz="6" w:space="0" w:color="auto"/>
              <w:left w:val="single" w:sz="6" w:space="0" w:color="auto"/>
              <w:bottom w:val="single" w:sz="6" w:space="0" w:color="auto"/>
              <w:right w:val="single" w:sz="6" w:space="0" w:color="auto"/>
            </w:tcBorders>
          </w:tcPr>
          <w:p w14:paraId="660B28D2"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 (n)</w:t>
            </w:r>
          </w:p>
        </w:tc>
        <w:tc>
          <w:tcPr>
            <w:tcW w:w="1191" w:type="dxa"/>
            <w:tcBorders>
              <w:top w:val="single" w:sz="6" w:space="0" w:color="auto"/>
              <w:left w:val="single" w:sz="6" w:space="0" w:color="auto"/>
              <w:bottom w:val="single" w:sz="6" w:space="0" w:color="auto"/>
              <w:right w:val="single" w:sz="6" w:space="0" w:color="auto"/>
            </w:tcBorders>
          </w:tcPr>
          <w:p w14:paraId="5529DE19"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 (%)</w:t>
            </w:r>
          </w:p>
        </w:tc>
        <w:tc>
          <w:tcPr>
            <w:tcW w:w="1191" w:type="dxa"/>
            <w:tcBorders>
              <w:top w:val="single" w:sz="6" w:space="0" w:color="auto"/>
              <w:left w:val="single" w:sz="6" w:space="0" w:color="auto"/>
              <w:bottom w:val="single" w:sz="6" w:space="0" w:color="auto"/>
              <w:right w:val="single" w:sz="6" w:space="0" w:color="auto"/>
            </w:tcBorders>
          </w:tcPr>
          <w:p w14:paraId="423A4ECE"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 (n)</w:t>
            </w:r>
          </w:p>
        </w:tc>
        <w:tc>
          <w:tcPr>
            <w:tcW w:w="1191" w:type="dxa"/>
            <w:tcBorders>
              <w:top w:val="single" w:sz="6" w:space="0" w:color="auto"/>
              <w:left w:val="single" w:sz="6" w:space="0" w:color="auto"/>
              <w:bottom w:val="single" w:sz="6" w:space="0" w:color="auto"/>
              <w:right w:val="single" w:sz="6" w:space="0" w:color="auto"/>
            </w:tcBorders>
          </w:tcPr>
          <w:p w14:paraId="51EE19FD"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 (%)</w:t>
            </w:r>
          </w:p>
        </w:tc>
        <w:tc>
          <w:tcPr>
            <w:tcW w:w="1191" w:type="dxa"/>
            <w:tcBorders>
              <w:top w:val="single" w:sz="6" w:space="0" w:color="auto"/>
              <w:left w:val="single" w:sz="6" w:space="0" w:color="auto"/>
              <w:bottom w:val="single" w:sz="6" w:space="0" w:color="auto"/>
              <w:right w:val="single" w:sz="6" w:space="0" w:color="auto"/>
            </w:tcBorders>
          </w:tcPr>
          <w:p w14:paraId="3667E0FE"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 (n)</w:t>
            </w:r>
          </w:p>
        </w:tc>
        <w:tc>
          <w:tcPr>
            <w:tcW w:w="1191" w:type="dxa"/>
            <w:tcBorders>
              <w:top w:val="single" w:sz="6" w:space="0" w:color="auto"/>
              <w:left w:val="single" w:sz="6" w:space="0" w:color="auto"/>
              <w:bottom w:val="single" w:sz="6" w:space="0" w:color="auto"/>
              <w:right w:val="single" w:sz="6" w:space="0" w:color="auto"/>
            </w:tcBorders>
          </w:tcPr>
          <w:p w14:paraId="4A2F4132"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 (%)</w:t>
            </w:r>
          </w:p>
        </w:tc>
        <w:tc>
          <w:tcPr>
            <w:tcW w:w="1191" w:type="dxa"/>
            <w:tcBorders>
              <w:top w:val="single" w:sz="6" w:space="0" w:color="auto"/>
              <w:left w:val="single" w:sz="6" w:space="0" w:color="auto"/>
              <w:bottom w:val="single" w:sz="6" w:space="0" w:color="auto"/>
              <w:right w:val="single" w:sz="6" w:space="0" w:color="auto"/>
            </w:tcBorders>
          </w:tcPr>
          <w:p w14:paraId="11E4FB9A"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 (n)</w:t>
            </w:r>
          </w:p>
        </w:tc>
        <w:tc>
          <w:tcPr>
            <w:tcW w:w="1191" w:type="dxa"/>
            <w:tcBorders>
              <w:top w:val="single" w:sz="6" w:space="0" w:color="auto"/>
              <w:left w:val="single" w:sz="6" w:space="0" w:color="auto"/>
              <w:bottom w:val="single" w:sz="6" w:space="0" w:color="auto"/>
              <w:right w:val="single" w:sz="6" w:space="0" w:color="auto"/>
            </w:tcBorders>
          </w:tcPr>
          <w:p w14:paraId="1894EDA8" w14:textId="77777777" w:rsidR="001E1A5B" w:rsidRPr="00392E0D" w:rsidRDefault="001E1A5B" w:rsidP="001E1A5B">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 (%)</w:t>
            </w:r>
          </w:p>
        </w:tc>
      </w:tr>
      <w:tr w:rsidR="001E1A5B" w:rsidRPr="00392E0D" w14:paraId="0401E72F"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5ABDC3FC"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Australia </w:t>
            </w:r>
          </w:p>
        </w:tc>
        <w:tc>
          <w:tcPr>
            <w:tcW w:w="1191" w:type="dxa"/>
            <w:tcBorders>
              <w:top w:val="single" w:sz="6" w:space="0" w:color="auto"/>
              <w:left w:val="single" w:sz="6" w:space="0" w:color="auto"/>
              <w:bottom w:val="single" w:sz="6" w:space="0" w:color="auto"/>
              <w:right w:val="single" w:sz="6" w:space="0" w:color="auto"/>
            </w:tcBorders>
          </w:tcPr>
          <w:p w14:paraId="3D1482B3"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261,147</w:t>
            </w:r>
          </w:p>
        </w:tc>
        <w:tc>
          <w:tcPr>
            <w:tcW w:w="1191" w:type="dxa"/>
            <w:tcBorders>
              <w:top w:val="single" w:sz="6" w:space="0" w:color="auto"/>
              <w:left w:val="single" w:sz="6" w:space="0" w:color="auto"/>
              <w:bottom w:val="single" w:sz="6" w:space="0" w:color="auto"/>
              <w:right w:val="single" w:sz="6" w:space="0" w:color="auto"/>
            </w:tcBorders>
          </w:tcPr>
          <w:p w14:paraId="56E6D2EF"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97.5</w:t>
            </w:r>
          </w:p>
        </w:tc>
        <w:tc>
          <w:tcPr>
            <w:tcW w:w="1191" w:type="dxa"/>
            <w:tcBorders>
              <w:top w:val="single" w:sz="6" w:space="0" w:color="auto"/>
              <w:left w:val="single" w:sz="6" w:space="0" w:color="auto"/>
              <w:bottom w:val="single" w:sz="6" w:space="0" w:color="auto"/>
              <w:right w:val="single" w:sz="6" w:space="0" w:color="auto"/>
            </w:tcBorders>
          </w:tcPr>
          <w:p w14:paraId="703706B8"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289,973</w:t>
            </w:r>
          </w:p>
        </w:tc>
        <w:tc>
          <w:tcPr>
            <w:tcW w:w="1191" w:type="dxa"/>
            <w:tcBorders>
              <w:top w:val="single" w:sz="6" w:space="0" w:color="auto"/>
              <w:left w:val="single" w:sz="6" w:space="0" w:color="auto"/>
              <w:bottom w:val="single" w:sz="6" w:space="0" w:color="auto"/>
              <w:right w:val="single" w:sz="6" w:space="0" w:color="auto"/>
            </w:tcBorders>
          </w:tcPr>
          <w:p w14:paraId="0A09B044"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96.5</w:t>
            </w:r>
          </w:p>
        </w:tc>
        <w:tc>
          <w:tcPr>
            <w:tcW w:w="1191" w:type="dxa"/>
            <w:tcBorders>
              <w:top w:val="single" w:sz="6" w:space="0" w:color="auto"/>
              <w:left w:val="single" w:sz="6" w:space="0" w:color="auto"/>
              <w:bottom w:val="single" w:sz="6" w:space="0" w:color="auto"/>
              <w:right w:val="single" w:sz="6" w:space="0" w:color="auto"/>
            </w:tcBorders>
          </w:tcPr>
          <w:p w14:paraId="30BBD814"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302,003</w:t>
            </w:r>
          </w:p>
        </w:tc>
        <w:tc>
          <w:tcPr>
            <w:tcW w:w="1191" w:type="dxa"/>
            <w:tcBorders>
              <w:top w:val="single" w:sz="6" w:space="0" w:color="auto"/>
              <w:left w:val="single" w:sz="6" w:space="0" w:color="auto"/>
              <w:bottom w:val="single" w:sz="6" w:space="0" w:color="auto"/>
              <w:right w:val="single" w:sz="6" w:space="0" w:color="auto"/>
            </w:tcBorders>
          </w:tcPr>
          <w:p w14:paraId="315D33A9"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96.5</w:t>
            </w:r>
          </w:p>
        </w:tc>
        <w:tc>
          <w:tcPr>
            <w:tcW w:w="1191" w:type="dxa"/>
            <w:tcBorders>
              <w:top w:val="single" w:sz="6" w:space="0" w:color="auto"/>
              <w:left w:val="single" w:sz="6" w:space="0" w:color="auto"/>
              <w:bottom w:val="single" w:sz="6" w:space="0" w:color="auto"/>
              <w:right w:val="single" w:sz="6" w:space="0" w:color="auto"/>
            </w:tcBorders>
          </w:tcPr>
          <w:p w14:paraId="5F939D4E"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308,953</w:t>
            </w:r>
          </w:p>
        </w:tc>
        <w:tc>
          <w:tcPr>
            <w:tcW w:w="1191" w:type="dxa"/>
            <w:tcBorders>
              <w:top w:val="single" w:sz="6" w:space="0" w:color="auto"/>
              <w:left w:val="single" w:sz="6" w:space="0" w:color="auto"/>
              <w:bottom w:val="single" w:sz="6" w:space="0" w:color="auto"/>
              <w:right w:val="single" w:sz="6" w:space="0" w:color="auto"/>
            </w:tcBorders>
          </w:tcPr>
          <w:p w14:paraId="3D069B0B"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96.4</w:t>
            </w:r>
          </w:p>
        </w:tc>
        <w:tc>
          <w:tcPr>
            <w:tcW w:w="1191" w:type="dxa"/>
            <w:tcBorders>
              <w:top w:val="single" w:sz="6" w:space="0" w:color="auto"/>
              <w:left w:val="single" w:sz="6" w:space="0" w:color="auto"/>
              <w:bottom w:val="single" w:sz="6" w:space="0" w:color="auto"/>
              <w:right w:val="single" w:sz="6" w:space="0" w:color="auto"/>
            </w:tcBorders>
          </w:tcPr>
          <w:p w14:paraId="4176C971"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305,015</w:t>
            </w:r>
          </w:p>
        </w:tc>
        <w:tc>
          <w:tcPr>
            <w:tcW w:w="1191" w:type="dxa"/>
            <w:tcBorders>
              <w:top w:val="single" w:sz="6" w:space="0" w:color="auto"/>
              <w:left w:val="single" w:sz="6" w:space="0" w:color="auto"/>
              <w:bottom w:val="single" w:sz="6" w:space="0" w:color="auto"/>
              <w:right w:val="single" w:sz="6" w:space="0" w:color="auto"/>
            </w:tcBorders>
          </w:tcPr>
          <w:p w14:paraId="051AC2BB"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95.5</w:t>
            </w:r>
          </w:p>
        </w:tc>
      </w:tr>
      <w:tr w:rsidR="001E1A5B" w:rsidRPr="00392E0D" w14:paraId="2245C1B3"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580EB2D7"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New South Wales</w:t>
            </w:r>
          </w:p>
        </w:tc>
        <w:tc>
          <w:tcPr>
            <w:tcW w:w="1191" w:type="dxa"/>
            <w:tcBorders>
              <w:top w:val="single" w:sz="6" w:space="0" w:color="auto"/>
              <w:left w:val="single" w:sz="6" w:space="0" w:color="auto"/>
              <w:bottom w:val="single" w:sz="6" w:space="0" w:color="auto"/>
              <w:right w:val="single" w:sz="6" w:space="0" w:color="auto"/>
            </w:tcBorders>
          </w:tcPr>
          <w:p w14:paraId="46EFC7DC"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86,931</w:t>
            </w:r>
          </w:p>
        </w:tc>
        <w:tc>
          <w:tcPr>
            <w:tcW w:w="1191" w:type="dxa"/>
            <w:tcBorders>
              <w:top w:val="single" w:sz="6" w:space="0" w:color="auto"/>
              <w:left w:val="single" w:sz="6" w:space="0" w:color="auto"/>
              <w:bottom w:val="single" w:sz="6" w:space="0" w:color="auto"/>
              <w:right w:val="single" w:sz="6" w:space="0" w:color="auto"/>
            </w:tcBorders>
          </w:tcPr>
          <w:p w14:paraId="77D31005"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99.9</w:t>
            </w:r>
          </w:p>
        </w:tc>
        <w:tc>
          <w:tcPr>
            <w:tcW w:w="1191" w:type="dxa"/>
            <w:tcBorders>
              <w:top w:val="single" w:sz="6" w:space="0" w:color="auto"/>
              <w:left w:val="single" w:sz="6" w:space="0" w:color="auto"/>
              <w:bottom w:val="single" w:sz="6" w:space="0" w:color="auto"/>
              <w:right w:val="single" w:sz="6" w:space="0" w:color="auto"/>
            </w:tcBorders>
          </w:tcPr>
          <w:p w14:paraId="771A8C7E"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94,323</w:t>
            </w:r>
          </w:p>
        </w:tc>
        <w:tc>
          <w:tcPr>
            <w:tcW w:w="1191" w:type="dxa"/>
            <w:tcBorders>
              <w:top w:val="single" w:sz="6" w:space="0" w:color="auto"/>
              <w:left w:val="single" w:sz="6" w:space="0" w:color="auto"/>
              <w:bottom w:val="single" w:sz="6" w:space="0" w:color="auto"/>
              <w:right w:val="single" w:sz="6" w:space="0" w:color="auto"/>
            </w:tcBorders>
          </w:tcPr>
          <w:p w14:paraId="508CC791"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97.3</w:t>
            </w:r>
          </w:p>
        </w:tc>
        <w:tc>
          <w:tcPr>
            <w:tcW w:w="1191" w:type="dxa"/>
            <w:tcBorders>
              <w:top w:val="single" w:sz="6" w:space="0" w:color="auto"/>
              <w:left w:val="single" w:sz="6" w:space="0" w:color="auto"/>
              <w:bottom w:val="single" w:sz="6" w:space="0" w:color="auto"/>
              <w:right w:val="single" w:sz="6" w:space="0" w:color="auto"/>
            </w:tcBorders>
          </w:tcPr>
          <w:p w14:paraId="43D0E103"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95,897</w:t>
            </w:r>
          </w:p>
        </w:tc>
        <w:tc>
          <w:tcPr>
            <w:tcW w:w="1191" w:type="dxa"/>
            <w:tcBorders>
              <w:top w:val="single" w:sz="6" w:space="0" w:color="auto"/>
              <w:left w:val="single" w:sz="6" w:space="0" w:color="auto"/>
              <w:bottom w:val="single" w:sz="6" w:space="0" w:color="auto"/>
              <w:right w:val="single" w:sz="6" w:space="0" w:color="auto"/>
            </w:tcBorders>
          </w:tcPr>
          <w:p w14:paraId="3F551A0A"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96.8</w:t>
            </w:r>
          </w:p>
        </w:tc>
        <w:tc>
          <w:tcPr>
            <w:tcW w:w="1191" w:type="dxa"/>
            <w:tcBorders>
              <w:top w:val="single" w:sz="6" w:space="0" w:color="auto"/>
              <w:left w:val="single" w:sz="6" w:space="0" w:color="auto"/>
              <w:bottom w:val="single" w:sz="6" w:space="0" w:color="auto"/>
              <w:right w:val="single" w:sz="6" w:space="0" w:color="auto"/>
            </w:tcBorders>
          </w:tcPr>
          <w:p w14:paraId="3ED4C554"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97,731</w:t>
            </w:r>
          </w:p>
        </w:tc>
        <w:tc>
          <w:tcPr>
            <w:tcW w:w="1191" w:type="dxa"/>
            <w:tcBorders>
              <w:top w:val="single" w:sz="6" w:space="0" w:color="auto"/>
              <w:left w:val="single" w:sz="6" w:space="0" w:color="auto"/>
              <w:bottom w:val="single" w:sz="6" w:space="0" w:color="auto"/>
              <w:right w:val="single" w:sz="6" w:space="0" w:color="auto"/>
            </w:tcBorders>
          </w:tcPr>
          <w:p w14:paraId="03A2FD3D"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96.1</w:t>
            </w:r>
          </w:p>
        </w:tc>
        <w:tc>
          <w:tcPr>
            <w:tcW w:w="1191" w:type="dxa"/>
            <w:tcBorders>
              <w:top w:val="single" w:sz="6" w:space="0" w:color="auto"/>
              <w:left w:val="single" w:sz="6" w:space="0" w:color="auto"/>
              <w:bottom w:val="single" w:sz="6" w:space="0" w:color="auto"/>
              <w:right w:val="single" w:sz="6" w:space="0" w:color="auto"/>
            </w:tcBorders>
          </w:tcPr>
          <w:p w14:paraId="1ED9B8D9"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95,426</w:t>
            </w:r>
          </w:p>
        </w:tc>
        <w:tc>
          <w:tcPr>
            <w:tcW w:w="1191" w:type="dxa"/>
            <w:tcBorders>
              <w:top w:val="single" w:sz="6" w:space="0" w:color="auto"/>
              <w:left w:val="single" w:sz="6" w:space="0" w:color="auto"/>
              <w:bottom w:val="single" w:sz="6" w:space="0" w:color="auto"/>
              <w:right w:val="single" w:sz="6" w:space="0" w:color="auto"/>
            </w:tcBorders>
          </w:tcPr>
          <w:p w14:paraId="21950C57"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96.0</w:t>
            </w:r>
          </w:p>
        </w:tc>
      </w:tr>
      <w:tr w:rsidR="001E1A5B" w:rsidRPr="00392E0D" w14:paraId="3EAE6E17"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6924AA65"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Victoria</w:t>
            </w:r>
          </w:p>
        </w:tc>
        <w:tc>
          <w:tcPr>
            <w:tcW w:w="1191" w:type="dxa"/>
            <w:tcBorders>
              <w:top w:val="single" w:sz="6" w:space="0" w:color="auto"/>
              <w:left w:val="single" w:sz="6" w:space="0" w:color="auto"/>
              <w:bottom w:val="single" w:sz="6" w:space="0" w:color="auto"/>
              <w:right w:val="single" w:sz="6" w:space="0" w:color="auto"/>
            </w:tcBorders>
          </w:tcPr>
          <w:p w14:paraId="3EA9D1A3"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61,242</w:t>
            </w:r>
          </w:p>
        </w:tc>
        <w:tc>
          <w:tcPr>
            <w:tcW w:w="1191" w:type="dxa"/>
            <w:tcBorders>
              <w:top w:val="single" w:sz="6" w:space="0" w:color="auto"/>
              <w:left w:val="single" w:sz="6" w:space="0" w:color="auto"/>
              <w:bottom w:val="single" w:sz="6" w:space="0" w:color="auto"/>
              <w:right w:val="single" w:sz="6" w:space="0" w:color="auto"/>
            </w:tcBorders>
          </w:tcPr>
          <w:p w14:paraId="13DC381A"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94.2</w:t>
            </w:r>
          </w:p>
        </w:tc>
        <w:tc>
          <w:tcPr>
            <w:tcW w:w="1191" w:type="dxa"/>
            <w:tcBorders>
              <w:top w:val="single" w:sz="6" w:space="0" w:color="auto"/>
              <w:left w:val="single" w:sz="6" w:space="0" w:color="auto"/>
              <w:bottom w:val="single" w:sz="6" w:space="0" w:color="auto"/>
              <w:right w:val="single" w:sz="6" w:space="0" w:color="auto"/>
            </w:tcBorders>
          </w:tcPr>
          <w:p w14:paraId="026107C7"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67,960</w:t>
            </w:r>
          </w:p>
        </w:tc>
        <w:tc>
          <w:tcPr>
            <w:tcW w:w="1191" w:type="dxa"/>
            <w:tcBorders>
              <w:top w:val="single" w:sz="6" w:space="0" w:color="auto"/>
              <w:left w:val="single" w:sz="6" w:space="0" w:color="auto"/>
              <w:bottom w:val="single" w:sz="6" w:space="0" w:color="auto"/>
              <w:right w:val="single" w:sz="6" w:space="0" w:color="auto"/>
            </w:tcBorders>
          </w:tcPr>
          <w:p w14:paraId="5F7417F6"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92.9</w:t>
            </w:r>
          </w:p>
        </w:tc>
        <w:tc>
          <w:tcPr>
            <w:tcW w:w="1191" w:type="dxa"/>
            <w:tcBorders>
              <w:top w:val="single" w:sz="6" w:space="0" w:color="auto"/>
              <w:left w:val="single" w:sz="6" w:space="0" w:color="auto"/>
              <w:bottom w:val="single" w:sz="6" w:space="0" w:color="auto"/>
              <w:right w:val="single" w:sz="6" w:space="0" w:color="auto"/>
            </w:tcBorders>
          </w:tcPr>
          <w:p w14:paraId="03C81AD4"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71,786</w:t>
            </w:r>
          </w:p>
        </w:tc>
        <w:tc>
          <w:tcPr>
            <w:tcW w:w="1191" w:type="dxa"/>
            <w:tcBorders>
              <w:top w:val="single" w:sz="6" w:space="0" w:color="auto"/>
              <w:left w:val="single" w:sz="6" w:space="0" w:color="auto"/>
              <w:bottom w:val="single" w:sz="6" w:space="0" w:color="auto"/>
              <w:right w:val="single" w:sz="6" w:space="0" w:color="auto"/>
            </w:tcBorders>
          </w:tcPr>
          <w:p w14:paraId="2EB9F50F"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94.3</w:t>
            </w:r>
          </w:p>
        </w:tc>
        <w:tc>
          <w:tcPr>
            <w:tcW w:w="1191" w:type="dxa"/>
            <w:tcBorders>
              <w:top w:val="single" w:sz="6" w:space="0" w:color="auto"/>
              <w:left w:val="single" w:sz="6" w:space="0" w:color="auto"/>
              <w:bottom w:val="single" w:sz="6" w:space="0" w:color="auto"/>
              <w:right w:val="single" w:sz="6" w:space="0" w:color="auto"/>
            </w:tcBorders>
          </w:tcPr>
          <w:p w14:paraId="2EFB0336"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76,356</w:t>
            </w:r>
          </w:p>
        </w:tc>
        <w:tc>
          <w:tcPr>
            <w:tcW w:w="1191" w:type="dxa"/>
            <w:tcBorders>
              <w:top w:val="single" w:sz="6" w:space="0" w:color="auto"/>
              <w:left w:val="single" w:sz="6" w:space="0" w:color="auto"/>
              <w:bottom w:val="single" w:sz="6" w:space="0" w:color="auto"/>
              <w:right w:val="single" w:sz="6" w:space="0" w:color="auto"/>
            </w:tcBorders>
          </w:tcPr>
          <w:p w14:paraId="6EB70262"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93.8</w:t>
            </w:r>
          </w:p>
        </w:tc>
        <w:tc>
          <w:tcPr>
            <w:tcW w:w="1191" w:type="dxa"/>
            <w:tcBorders>
              <w:top w:val="single" w:sz="6" w:space="0" w:color="auto"/>
              <w:left w:val="single" w:sz="6" w:space="0" w:color="auto"/>
              <w:bottom w:val="single" w:sz="6" w:space="0" w:color="auto"/>
              <w:right w:val="single" w:sz="6" w:space="0" w:color="auto"/>
            </w:tcBorders>
          </w:tcPr>
          <w:p w14:paraId="7DE36CA6"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73,619</w:t>
            </w:r>
          </w:p>
        </w:tc>
        <w:tc>
          <w:tcPr>
            <w:tcW w:w="1191" w:type="dxa"/>
            <w:tcBorders>
              <w:top w:val="single" w:sz="6" w:space="0" w:color="auto"/>
              <w:left w:val="single" w:sz="6" w:space="0" w:color="auto"/>
              <w:bottom w:val="single" w:sz="6" w:space="0" w:color="auto"/>
              <w:right w:val="single" w:sz="6" w:space="0" w:color="auto"/>
            </w:tcBorders>
          </w:tcPr>
          <w:p w14:paraId="18CC10AC"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89.7</w:t>
            </w:r>
          </w:p>
        </w:tc>
      </w:tr>
      <w:tr w:rsidR="001E1A5B" w:rsidRPr="00392E0D" w14:paraId="0948875A"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44C243FE"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Queensland </w:t>
            </w:r>
          </w:p>
        </w:tc>
        <w:tc>
          <w:tcPr>
            <w:tcW w:w="1191" w:type="dxa"/>
            <w:tcBorders>
              <w:top w:val="single" w:sz="6" w:space="0" w:color="auto"/>
              <w:left w:val="single" w:sz="6" w:space="0" w:color="auto"/>
              <w:bottom w:val="single" w:sz="6" w:space="0" w:color="auto"/>
              <w:right w:val="single" w:sz="6" w:space="0" w:color="auto"/>
            </w:tcBorders>
          </w:tcPr>
          <w:p w14:paraId="6BB746BB"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55,464</w:t>
            </w:r>
          </w:p>
        </w:tc>
        <w:tc>
          <w:tcPr>
            <w:tcW w:w="1191" w:type="dxa"/>
            <w:tcBorders>
              <w:top w:val="single" w:sz="6" w:space="0" w:color="auto"/>
              <w:left w:val="single" w:sz="6" w:space="0" w:color="auto"/>
              <w:bottom w:val="single" w:sz="6" w:space="0" w:color="auto"/>
              <w:right w:val="single" w:sz="6" w:space="0" w:color="auto"/>
            </w:tcBorders>
          </w:tcPr>
          <w:p w14:paraId="71215D81"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99.1</w:t>
            </w:r>
          </w:p>
        </w:tc>
        <w:tc>
          <w:tcPr>
            <w:tcW w:w="1191" w:type="dxa"/>
            <w:tcBorders>
              <w:top w:val="single" w:sz="6" w:space="0" w:color="auto"/>
              <w:left w:val="single" w:sz="6" w:space="0" w:color="auto"/>
              <w:bottom w:val="single" w:sz="6" w:space="0" w:color="auto"/>
              <w:right w:val="single" w:sz="6" w:space="0" w:color="auto"/>
            </w:tcBorders>
          </w:tcPr>
          <w:p w14:paraId="280D1B85"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61,607</w:t>
            </w:r>
          </w:p>
        </w:tc>
        <w:tc>
          <w:tcPr>
            <w:tcW w:w="1191" w:type="dxa"/>
            <w:tcBorders>
              <w:top w:val="single" w:sz="6" w:space="0" w:color="auto"/>
              <w:left w:val="single" w:sz="6" w:space="0" w:color="auto"/>
              <w:bottom w:val="single" w:sz="6" w:space="0" w:color="auto"/>
              <w:right w:val="single" w:sz="6" w:space="0" w:color="auto"/>
            </w:tcBorders>
          </w:tcPr>
          <w:p w14:paraId="19E58853"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97.6</w:t>
            </w:r>
          </w:p>
        </w:tc>
        <w:tc>
          <w:tcPr>
            <w:tcW w:w="1191" w:type="dxa"/>
            <w:tcBorders>
              <w:top w:val="single" w:sz="6" w:space="0" w:color="auto"/>
              <w:left w:val="single" w:sz="6" w:space="0" w:color="auto"/>
              <w:bottom w:val="single" w:sz="6" w:space="0" w:color="auto"/>
              <w:right w:val="single" w:sz="6" w:space="0" w:color="auto"/>
            </w:tcBorders>
          </w:tcPr>
          <w:p w14:paraId="15AB84D0"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65,214</w:t>
            </w:r>
          </w:p>
        </w:tc>
        <w:tc>
          <w:tcPr>
            <w:tcW w:w="1191" w:type="dxa"/>
            <w:tcBorders>
              <w:top w:val="single" w:sz="6" w:space="0" w:color="auto"/>
              <w:left w:val="single" w:sz="6" w:space="0" w:color="auto"/>
              <w:bottom w:val="single" w:sz="6" w:space="0" w:color="auto"/>
              <w:right w:val="single" w:sz="6" w:space="0" w:color="auto"/>
            </w:tcBorders>
          </w:tcPr>
          <w:p w14:paraId="7012DCED"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97.1</w:t>
            </w:r>
          </w:p>
        </w:tc>
        <w:tc>
          <w:tcPr>
            <w:tcW w:w="1191" w:type="dxa"/>
            <w:tcBorders>
              <w:top w:val="single" w:sz="6" w:space="0" w:color="auto"/>
              <w:left w:val="single" w:sz="6" w:space="0" w:color="auto"/>
              <w:bottom w:val="single" w:sz="6" w:space="0" w:color="auto"/>
              <w:right w:val="single" w:sz="6" w:space="0" w:color="auto"/>
            </w:tcBorders>
          </w:tcPr>
          <w:p w14:paraId="1EB2673C"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64,721</w:t>
            </w:r>
          </w:p>
        </w:tc>
        <w:tc>
          <w:tcPr>
            <w:tcW w:w="1191" w:type="dxa"/>
            <w:tcBorders>
              <w:top w:val="single" w:sz="6" w:space="0" w:color="auto"/>
              <w:left w:val="single" w:sz="6" w:space="0" w:color="auto"/>
              <w:bottom w:val="single" w:sz="6" w:space="0" w:color="auto"/>
              <w:right w:val="single" w:sz="6" w:space="0" w:color="auto"/>
            </w:tcBorders>
          </w:tcPr>
          <w:p w14:paraId="3D2F3B71"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98.1</w:t>
            </w:r>
          </w:p>
        </w:tc>
        <w:tc>
          <w:tcPr>
            <w:tcW w:w="1191" w:type="dxa"/>
            <w:tcBorders>
              <w:top w:val="single" w:sz="6" w:space="0" w:color="auto"/>
              <w:left w:val="single" w:sz="6" w:space="0" w:color="auto"/>
              <w:bottom w:val="single" w:sz="6" w:space="0" w:color="auto"/>
              <w:right w:val="single" w:sz="6" w:space="0" w:color="auto"/>
            </w:tcBorders>
          </w:tcPr>
          <w:p w14:paraId="5808454D"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65,026</w:t>
            </w:r>
          </w:p>
        </w:tc>
        <w:tc>
          <w:tcPr>
            <w:tcW w:w="1191" w:type="dxa"/>
            <w:tcBorders>
              <w:top w:val="single" w:sz="6" w:space="0" w:color="auto"/>
              <w:left w:val="single" w:sz="6" w:space="0" w:color="auto"/>
              <w:bottom w:val="single" w:sz="6" w:space="0" w:color="auto"/>
              <w:right w:val="single" w:sz="6" w:space="0" w:color="auto"/>
            </w:tcBorders>
          </w:tcPr>
          <w:p w14:paraId="5057805A"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98.4</w:t>
            </w:r>
          </w:p>
        </w:tc>
      </w:tr>
      <w:tr w:rsidR="001E1A5B" w:rsidRPr="00392E0D" w14:paraId="6794CF9D"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3E7D42E4"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South Australia </w:t>
            </w:r>
          </w:p>
        </w:tc>
        <w:tc>
          <w:tcPr>
            <w:tcW w:w="1191" w:type="dxa"/>
            <w:tcBorders>
              <w:top w:val="single" w:sz="6" w:space="0" w:color="auto"/>
              <w:left w:val="single" w:sz="6" w:space="0" w:color="auto"/>
              <w:bottom w:val="single" w:sz="6" w:space="0" w:color="auto"/>
              <w:right w:val="single" w:sz="6" w:space="0" w:color="auto"/>
            </w:tcBorders>
          </w:tcPr>
          <w:p w14:paraId="667BEB55"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16,211</w:t>
            </w:r>
          </w:p>
        </w:tc>
        <w:tc>
          <w:tcPr>
            <w:tcW w:w="1191" w:type="dxa"/>
            <w:tcBorders>
              <w:top w:val="single" w:sz="6" w:space="0" w:color="auto"/>
              <w:left w:val="single" w:sz="6" w:space="0" w:color="auto"/>
              <w:bottom w:val="single" w:sz="6" w:space="0" w:color="auto"/>
              <w:right w:val="single" w:sz="6" w:space="0" w:color="auto"/>
            </w:tcBorders>
          </w:tcPr>
          <w:p w14:paraId="3B001929"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87.8</w:t>
            </w:r>
          </w:p>
        </w:tc>
        <w:tc>
          <w:tcPr>
            <w:tcW w:w="1191" w:type="dxa"/>
            <w:tcBorders>
              <w:top w:val="single" w:sz="6" w:space="0" w:color="auto"/>
              <w:left w:val="single" w:sz="6" w:space="0" w:color="auto"/>
              <w:bottom w:val="single" w:sz="6" w:space="0" w:color="auto"/>
              <w:right w:val="single" w:sz="6" w:space="0" w:color="auto"/>
            </w:tcBorders>
          </w:tcPr>
          <w:p w14:paraId="0DD20859"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18,925</w:t>
            </w:r>
          </w:p>
        </w:tc>
        <w:tc>
          <w:tcPr>
            <w:tcW w:w="1191" w:type="dxa"/>
            <w:tcBorders>
              <w:top w:val="single" w:sz="6" w:space="0" w:color="auto"/>
              <w:left w:val="single" w:sz="6" w:space="0" w:color="auto"/>
              <w:bottom w:val="single" w:sz="6" w:space="0" w:color="auto"/>
              <w:right w:val="single" w:sz="6" w:space="0" w:color="auto"/>
            </w:tcBorders>
          </w:tcPr>
          <w:p w14:paraId="4D96F8A0"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96.9</w:t>
            </w:r>
          </w:p>
        </w:tc>
        <w:tc>
          <w:tcPr>
            <w:tcW w:w="1191" w:type="dxa"/>
            <w:tcBorders>
              <w:top w:val="single" w:sz="6" w:space="0" w:color="auto"/>
              <w:left w:val="single" w:sz="6" w:space="0" w:color="auto"/>
              <w:bottom w:val="single" w:sz="6" w:space="0" w:color="auto"/>
              <w:right w:val="single" w:sz="6" w:space="0" w:color="auto"/>
            </w:tcBorders>
          </w:tcPr>
          <w:p w14:paraId="33CCF81A"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19,678</w:t>
            </w:r>
          </w:p>
        </w:tc>
        <w:tc>
          <w:tcPr>
            <w:tcW w:w="1191" w:type="dxa"/>
            <w:tcBorders>
              <w:top w:val="single" w:sz="6" w:space="0" w:color="auto"/>
              <w:left w:val="single" w:sz="6" w:space="0" w:color="auto"/>
              <w:bottom w:val="single" w:sz="6" w:space="0" w:color="auto"/>
              <w:right w:val="single" w:sz="6" w:space="0" w:color="auto"/>
            </w:tcBorders>
          </w:tcPr>
          <w:p w14:paraId="5956DF73"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96.4</w:t>
            </w:r>
          </w:p>
        </w:tc>
        <w:tc>
          <w:tcPr>
            <w:tcW w:w="1191" w:type="dxa"/>
            <w:tcBorders>
              <w:top w:val="single" w:sz="6" w:space="0" w:color="auto"/>
              <w:left w:val="single" w:sz="6" w:space="0" w:color="auto"/>
              <w:bottom w:val="single" w:sz="6" w:space="0" w:color="auto"/>
              <w:right w:val="single" w:sz="6" w:space="0" w:color="auto"/>
            </w:tcBorders>
          </w:tcPr>
          <w:p w14:paraId="74C72F18"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20,305</w:t>
            </w:r>
          </w:p>
        </w:tc>
        <w:tc>
          <w:tcPr>
            <w:tcW w:w="1191" w:type="dxa"/>
            <w:tcBorders>
              <w:top w:val="single" w:sz="6" w:space="0" w:color="auto"/>
              <w:left w:val="single" w:sz="6" w:space="0" w:color="auto"/>
              <w:bottom w:val="single" w:sz="6" w:space="0" w:color="auto"/>
              <w:right w:val="single" w:sz="6" w:space="0" w:color="auto"/>
            </w:tcBorders>
          </w:tcPr>
          <w:p w14:paraId="18669046"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96.9</w:t>
            </w:r>
          </w:p>
        </w:tc>
        <w:tc>
          <w:tcPr>
            <w:tcW w:w="1191" w:type="dxa"/>
            <w:tcBorders>
              <w:top w:val="single" w:sz="6" w:space="0" w:color="auto"/>
              <w:left w:val="single" w:sz="6" w:space="0" w:color="auto"/>
              <w:bottom w:val="single" w:sz="6" w:space="0" w:color="auto"/>
              <w:right w:val="single" w:sz="6" w:space="0" w:color="auto"/>
            </w:tcBorders>
          </w:tcPr>
          <w:p w14:paraId="31B99E47"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20,259</w:t>
            </w:r>
          </w:p>
        </w:tc>
        <w:tc>
          <w:tcPr>
            <w:tcW w:w="1191" w:type="dxa"/>
            <w:tcBorders>
              <w:top w:val="single" w:sz="6" w:space="0" w:color="auto"/>
              <w:left w:val="single" w:sz="6" w:space="0" w:color="auto"/>
              <w:bottom w:val="single" w:sz="6" w:space="0" w:color="auto"/>
              <w:right w:val="single" w:sz="6" w:space="0" w:color="auto"/>
            </w:tcBorders>
          </w:tcPr>
          <w:p w14:paraId="38F9E342"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97.8</w:t>
            </w:r>
          </w:p>
        </w:tc>
      </w:tr>
      <w:tr w:rsidR="001E1A5B" w:rsidRPr="00392E0D" w14:paraId="2346972D"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52EDACC0"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Western Australia</w:t>
            </w:r>
          </w:p>
        </w:tc>
        <w:tc>
          <w:tcPr>
            <w:tcW w:w="1191" w:type="dxa"/>
            <w:tcBorders>
              <w:top w:val="single" w:sz="6" w:space="0" w:color="auto"/>
              <w:left w:val="single" w:sz="6" w:space="0" w:color="auto"/>
              <w:bottom w:val="single" w:sz="6" w:space="0" w:color="auto"/>
              <w:right w:val="single" w:sz="6" w:space="0" w:color="auto"/>
            </w:tcBorders>
          </w:tcPr>
          <w:p w14:paraId="03091F1D"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27,575</w:t>
            </w:r>
          </w:p>
        </w:tc>
        <w:tc>
          <w:tcPr>
            <w:tcW w:w="1191" w:type="dxa"/>
            <w:tcBorders>
              <w:top w:val="single" w:sz="6" w:space="0" w:color="auto"/>
              <w:left w:val="single" w:sz="6" w:space="0" w:color="auto"/>
              <w:bottom w:val="single" w:sz="6" w:space="0" w:color="auto"/>
              <w:right w:val="single" w:sz="6" w:space="0" w:color="auto"/>
            </w:tcBorders>
          </w:tcPr>
          <w:p w14:paraId="0FFB5B74"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97.5</w:t>
            </w:r>
          </w:p>
        </w:tc>
        <w:tc>
          <w:tcPr>
            <w:tcW w:w="1191" w:type="dxa"/>
            <w:tcBorders>
              <w:top w:val="single" w:sz="6" w:space="0" w:color="auto"/>
              <w:left w:val="single" w:sz="6" w:space="0" w:color="auto"/>
              <w:bottom w:val="single" w:sz="6" w:space="0" w:color="auto"/>
              <w:right w:val="single" w:sz="6" w:space="0" w:color="auto"/>
            </w:tcBorders>
          </w:tcPr>
          <w:p w14:paraId="38F0224C"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32,160</w:t>
            </w:r>
          </w:p>
        </w:tc>
        <w:tc>
          <w:tcPr>
            <w:tcW w:w="1191" w:type="dxa"/>
            <w:tcBorders>
              <w:top w:val="single" w:sz="6" w:space="0" w:color="auto"/>
              <w:left w:val="single" w:sz="6" w:space="0" w:color="auto"/>
              <w:bottom w:val="single" w:sz="6" w:space="0" w:color="auto"/>
              <w:right w:val="single" w:sz="6" w:space="0" w:color="auto"/>
            </w:tcBorders>
          </w:tcPr>
          <w:p w14:paraId="6F608E14"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99.0</w:t>
            </w:r>
          </w:p>
        </w:tc>
        <w:tc>
          <w:tcPr>
            <w:tcW w:w="1191" w:type="dxa"/>
            <w:tcBorders>
              <w:top w:val="single" w:sz="6" w:space="0" w:color="auto"/>
              <w:left w:val="single" w:sz="6" w:space="0" w:color="auto"/>
              <w:bottom w:val="single" w:sz="6" w:space="0" w:color="auto"/>
              <w:right w:val="single" w:sz="6" w:space="0" w:color="auto"/>
            </w:tcBorders>
          </w:tcPr>
          <w:p w14:paraId="6637989D"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33,816</w:t>
            </w:r>
          </w:p>
        </w:tc>
        <w:tc>
          <w:tcPr>
            <w:tcW w:w="1191" w:type="dxa"/>
            <w:tcBorders>
              <w:top w:val="single" w:sz="6" w:space="0" w:color="auto"/>
              <w:left w:val="single" w:sz="6" w:space="0" w:color="auto"/>
              <w:bottom w:val="single" w:sz="6" w:space="0" w:color="auto"/>
              <w:right w:val="single" w:sz="6" w:space="0" w:color="auto"/>
            </w:tcBorders>
          </w:tcPr>
          <w:p w14:paraId="7DE6A8E8"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98.7</w:t>
            </w:r>
          </w:p>
        </w:tc>
        <w:tc>
          <w:tcPr>
            <w:tcW w:w="1191" w:type="dxa"/>
            <w:tcBorders>
              <w:top w:val="single" w:sz="6" w:space="0" w:color="auto"/>
              <w:left w:val="single" w:sz="6" w:space="0" w:color="auto"/>
              <w:bottom w:val="single" w:sz="6" w:space="0" w:color="auto"/>
              <w:right w:val="single" w:sz="6" w:space="0" w:color="auto"/>
            </w:tcBorders>
          </w:tcPr>
          <w:p w14:paraId="14EABF60"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34,368</w:t>
            </w:r>
          </w:p>
        </w:tc>
        <w:tc>
          <w:tcPr>
            <w:tcW w:w="1191" w:type="dxa"/>
            <w:tcBorders>
              <w:top w:val="single" w:sz="6" w:space="0" w:color="auto"/>
              <w:left w:val="single" w:sz="6" w:space="0" w:color="auto"/>
              <w:bottom w:val="single" w:sz="6" w:space="0" w:color="auto"/>
              <w:right w:val="single" w:sz="6" w:space="0" w:color="auto"/>
            </w:tcBorders>
          </w:tcPr>
          <w:p w14:paraId="0CBC795B"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99.3</w:t>
            </w:r>
          </w:p>
        </w:tc>
        <w:tc>
          <w:tcPr>
            <w:tcW w:w="1191" w:type="dxa"/>
            <w:tcBorders>
              <w:top w:val="single" w:sz="6" w:space="0" w:color="auto"/>
              <w:left w:val="single" w:sz="6" w:space="0" w:color="auto"/>
              <w:bottom w:val="single" w:sz="6" w:space="0" w:color="auto"/>
              <w:right w:val="single" w:sz="6" w:space="0" w:color="auto"/>
            </w:tcBorders>
          </w:tcPr>
          <w:p w14:paraId="3588435E"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35,450</w:t>
            </w:r>
          </w:p>
        </w:tc>
        <w:tc>
          <w:tcPr>
            <w:tcW w:w="1191" w:type="dxa"/>
            <w:tcBorders>
              <w:top w:val="single" w:sz="6" w:space="0" w:color="auto"/>
              <w:left w:val="single" w:sz="6" w:space="0" w:color="auto"/>
              <w:bottom w:val="single" w:sz="6" w:space="0" w:color="auto"/>
              <w:right w:val="single" w:sz="6" w:space="0" w:color="auto"/>
            </w:tcBorders>
          </w:tcPr>
          <w:p w14:paraId="478D468A"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99.7</w:t>
            </w:r>
          </w:p>
        </w:tc>
      </w:tr>
      <w:tr w:rsidR="001E1A5B" w:rsidRPr="00392E0D" w14:paraId="2756D9C7"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66226553"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Tasmania </w:t>
            </w:r>
          </w:p>
        </w:tc>
        <w:tc>
          <w:tcPr>
            <w:tcW w:w="1191" w:type="dxa"/>
            <w:tcBorders>
              <w:top w:val="single" w:sz="6" w:space="0" w:color="auto"/>
              <w:left w:val="single" w:sz="6" w:space="0" w:color="auto"/>
              <w:bottom w:val="single" w:sz="6" w:space="0" w:color="auto"/>
              <w:right w:val="single" w:sz="6" w:space="0" w:color="auto"/>
            </w:tcBorders>
          </w:tcPr>
          <w:p w14:paraId="50960209"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5,917</w:t>
            </w:r>
          </w:p>
        </w:tc>
        <w:tc>
          <w:tcPr>
            <w:tcW w:w="1191" w:type="dxa"/>
            <w:tcBorders>
              <w:top w:val="single" w:sz="6" w:space="0" w:color="auto"/>
              <w:left w:val="single" w:sz="6" w:space="0" w:color="auto"/>
              <w:bottom w:val="single" w:sz="6" w:space="0" w:color="auto"/>
              <w:right w:val="single" w:sz="6" w:space="0" w:color="auto"/>
            </w:tcBorders>
          </w:tcPr>
          <w:p w14:paraId="25D8E7CA"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99.6</w:t>
            </w:r>
          </w:p>
        </w:tc>
        <w:tc>
          <w:tcPr>
            <w:tcW w:w="1191" w:type="dxa"/>
            <w:tcBorders>
              <w:top w:val="single" w:sz="6" w:space="0" w:color="auto"/>
              <w:left w:val="single" w:sz="6" w:space="0" w:color="auto"/>
              <w:bottom w:val="single" w:sz="6" w:space="0" w:color="auto"/>
              <w:right w:val="single" w:sz="6" w:space="0" w:color="auto"/>
            </w:tcBorders>
          </w:tcPr>
          <w:p w14:paraId="0D410607"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6,429</w:t>
            </w:r>
          </w:p>
        </w:tc>
        <w:tc>
          <w:tcPr>
            <w:tcW w:w="1191" w:type="dxa"/>
            <w:tcBorders>
              <w:top w:val="single" w:sz="6" w:space="0" w:color="auto"/>
              <w:left w:val="single" w:sz="6" w:space="0" w:color="auto"/>
              <w:bottom w:val="single" w:sz="6" w:space="0" w:color="auto"/>
              <w:right w:val="single" w:sz="6" w:space="0" w:color="auto"/>
            </w:tcBorders>
          </w:tcPr>
          <w:p w14:paraId="129105A0"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98.4</w:t>
            </w:r>
          </w:p>
        </w:tc>
        <w:tc>
          <w:tcPr>
            <w:tcW w:w="1191" w:type="dxa"/>
            <w:tcBorders>
              <w:top w:val="single" w:sz="6" w:space="0" w:color="auto"/>
              <w:left w:val="single" w:sz="6" w:space="0" w:color="auto"/>
              <w:bottom w:val="single" w:sz="6" w:space="0" w:color="auto"/>
              <w:right w:val="single" w:sz="6" w:space="0" w:color="auto"/>
            </w:tcBorders>
          </w:tcPr>
          <w:p w14:paraId="60917EC0"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6,425</w:t>
            </w:r>
          </w:p>
        </w:tc>
        <w:tc>
          <w:tcPr>
            <w:tcW w:w="1191" w:type="dxa"/>
            <w:tcBorders>
              <w:top w:val="single" w:sz="6" w:space="0" w:color="auto"/>
              <w:left w:val="single" w:sz="6" w:space="0" w:color="auto"/>
              <w:bottom w:val="single" w:sz="6" w:space="0" w:color="auto"/>
              <w:right w:val="single" w:sz="6" w:space="0" w:color="auto"/>
            </w:tcBorders>
          </w:tcPr>
          <w:p w14:paraId="48B86B5C"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99.0</w:t>
            </w:r>
          </w:p>
        </w:tc>
        <w:tc>
          <w:tcPr>
            <w:tcW w:w="1191" w:type="dxa"/>
            <w:tcBorders>
              <w:top w:val="single" w:sz="6" w:space="0" w:color="auto"/>
              <w:left w:val="single" w:sz="6" w:space="0" w:color="auto"/>
              <w:bottom w:val="single" w:sz="6" w:space="0" w:color="auto"/>
              <w:right w:val="single" w:sz="6" w:space="0" w:color="auto"/>
            </w:tcBorders>
          </w:tcPr>
          <w:p w14:paraId="65FB7991"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6,151</w:t>
            </w:r>
          </w:p>
        </w:tc>
        <w:tc>
          <w:tcPr>
            <w:tcW w:w="1191" w:type="dxa"/>
            <w:tcBorders>
              <w:top w:val="single" w:sz="6" w:space="0" w:color="auto"/>
              <w:left w:val="single" w:sz="6" w:space="0" w:color="auto"/>
              <w:bottom w:val="single" w:sz="6" w:space="0" w:color="auto"/>
              <w:right w:val="single" w:sz="6" w:space="0" w:color="auto"/>
            </w:tcBorders>
          </w:tcPr>
          <w:p w14:paraId="7B73A503"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99.0</w:t>
            </w:r>
          </w:p>
        </w:tc>
        <w:tc>
          <w:tcPr>
            <w:tcW w:w="1191" w:type="dxa"/>
            <w:tcBorders>
              <w:top w:val="single" w:sz="6" w:space="0" w:color="auto"/>
              <w:left w:val="single" w:sz="6" w:space="0" w:color="auto"/>
              <w:bottom w:val="single" w:sz="6" w:space="0" w:color="auto"/>
              <w:right w:val="single" w:sz="6" w:space="0" w:color="auto"/>
            </w:tcBorders>
          </w:tcPr>
          <w:p w14:paraId="1E8E4F2A"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5,987</w:t>
            </w:r>
          </w:p>
        </w:tc>
        <w:tc>
          <w:tcPr>
            <w:tcW w:w="1191" w:type="dxa"/>
            <w:tcBorders>
              <w:top w:val="single" w:sz="6" w:space="0" w:color="auto"/>
              <w:left w:val="single" w:sz="6" w:space="0" w:color="auto"/>
              <w:bottom w:val="single" w:sz="6" w:space="0" w:color="auto"/>
              <w:right w:val="single" w:sz="6" w:space="0" w:color="auto"/>
            </w:tcBorders>
          </w:tcPr>
          <w:p w14:paraId="547FC776"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98.9</w:t>
            </w:r>
          </w:p>
        </w:tc>
      </w:tr>
      <w:tr w:rsidR="001E1A5B" w:rsidRPr="00392E0D" w14:paraId="303ADC50"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49ED6F13" w14:textId="77777777"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Northern Territory</w:t>
            </w:r>
          </w:p>
        </w:tc>
        <w:tc>
          <w:tcPr>
            <w:tcW w:w="1191" w:type="dxa"/>
            <w:tcBorders>
              <w:top w:val="single" w:sz="6" w:space="0" w:color="auto"/>
              <w:left w:val="single" w:sz="6" w:space="0" w:color="auto"/>
              <w:bottom w:val="single" w:sz="6" w:space="0" w:color="auto"/>
              <w:right w:val="single" w:sz="6" w:space="0" w:color="auto"/>
            </w:tcBorders>
          </w:tcPr>
          <w:p w14:paraId="34CB0631"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3,196</w:t>
            </w:r>
          </w:p>
        </w:tc>
        <w:tc>
          <w:tcPr>
            <w:tcW w:w="1191" w:type="dxa"/>
            <w:tcBorders>
              <w:top w:val="single" w:sz="6" w:space="0" w:color="auto"/>
              <w:left w:val="single" w:sz="6" w:space="0" w:color="auto"/>
              <w:bottom w:val="single" w:sz="6" w:space="0" w:color="auto"/>
              <w:right w:val="single" w:sz="6" w:space="0" w:color="auto"/>
            </w:tcBorders>
          </w:tcPr>
          <w:p w14:paraId="6BB95AEB"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92.2</w:t>
            </w:r>
          </w:p>
        </w:tc>
        <w:tc>
          <w:tcPr>
            <w:tcW w:w="1191" w:type="dxa"/>
            <w:tcBorders>
              <w:top w:val="single" w:sz="6" w:space="0" w:color="auto"/>
              <w:left w:val="single" w:sz="6" w:space="0" w:color="auto"/>
              <w:bottom w:val="single" w:sz="6" w:space="0" w:color="auto"/>
              <w:right w:val="single" w:sz="6" w:space="0" w:color="auto"/>
            </w:tcBorders>
          </w:tcPr>
          <w:p w14:paraId="40E1D066"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3,463</w:t>
            </w:r>
          </w:p>
        </w:tc>
        <w:tc>
          <w:tcPr>
            <w:tcW w:w="1191" w:type="dxa"/>
            <w:tcBorders>
              <w:top w:val="single" w:sz="6" w:space="0" w:color="auto"/>
              <w:left w:val="single" w:sz="6" w:space="0" w:color="auto"/>
              <w:bottom w:val="single" w:sz="6" w:space="0" w:color="auto"/>
              <w:right w:val="single" w:sz="6" w:space="0" w:color="auto"/>
            </w:tcBorders>
          </w:tcPr>
          <w:p w14:paraId="3204A99B"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95.9</w:t>
            </w:r>
          </w:p>
        </w:tc>
        <w:tc>
          <w:tcPr>
            <w:tcW w:w="1191" w:type="dxa"/>
            <w:tcBorders>
              <w:top w:val="single" w:sz="6" w:space="0" w:color="auto"/>
              <w:left w:val="single" w:sz="6" w:space="0" w:color="auto"/>
              <w:bottom w:val="single" w:sz="6" w:space="0" w:color="auto"/>
              <w:right w:val="single" w:sz="6" w:space="0" w:color="auto"/>
            </w:tcBorders>
          </w:tcPr>
          <w:p w14:paraId="77EB5CE6"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3,583</w:t>
            </w:r>
          </w:p>
        </w:tc>
        <w:tc>
          <w:tcPr>
            <w:tcW w:w="1191" w:type="dxa"/>
            <w:tcBorders>
              <w:top w:val="single" w:sz="6" w:space="0" w:color="auto"/>
              <w:left w:val="single" w:sz="6" w:space="0" w:color="auto"/>
              <w:bottom w:val="single" w:sz="6" w:space="0" w:color="auto"/>
              <w:right w:val="single" w:sz="6" w:space="0" w:color="auto"/>
            </w:tcBorders>
          </w:tcPr>
          <w:p w14:paraId="1B57C93C"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98.0</w:t>
            </w:r>
          </w:p>
        </w:tc>
        <w:tc>
          <w:tcPr>
            <w:tcW w:w="1191" w:type="dxa"/>
            <w:tcBorders>
              <w:top w:val="single" w:sz="6" w:space="0" w:color="auto"/>
              <w:left w:val="single" w:sz="6" w:space="0" w:color="auto"/>
              <w:bottom w:val="single" w:sz="6" w:space="0" w:color="auto"/>
              <w:right w:val="single" w:sz="6" w:space="0" w:color="auto"/>
            </w:tcBorders>
          </w:tcPr>
          <w:p w14:paraId="11CFC902"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3,435</w:t>
            </w:r>
          </w:p>
        </w:tc>
        <w:tc>
          <w:tcPr>
            <w:tcW w:w="1191" w:type="dxa"/>
            <w:tcBorders>
              <w:top w:val="single" w:sz="6" w:space="0" w:color="auto"/>
              <w:left w:val="single" w:sz="6" w:space="0" w:color="auto"/>
              <w:bottom w:val="single" w:sz="6" w:space="0" w:color="auto"/>
              <w:right w:val="single" w:sz="6" w:space="0" w:color="auto"/>
            </w:tcBorders>
          </w:tcPr>
          <w:p w14:paraId="6B5F0CC5"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95.3</w:t>
            </w:r>
          </w:p>
        </w:tc>
        <w:tc>
          <w:tcPr>
            <w:tcW w:w="1191" w:type="dxa"/>
            <w:tcBorders>
              <w:top w:val="single" w:sz="6" w:space="0" w:color="auto"/>
              <w:left w:val="single" w:sz="6" w:space="0" w:color="auto"/>
              <w:bottom w:val="single" w:sz="6" w:space="0" w:color="auto"/>
              <w:right w:val="single" w:sz="6" w:space="0" w:color="auto"/>
            </w:tcBorders>
          </w:tcPr>
          <w:p w14:paraId="3879C080"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3,297</w:t>
            </w:r>
          </w:p>
        </w:tc>
        <w:tc>
          <w:tcPr>
            <w:tcW w:w="1191" w:type="dxa"/>
            <w:tcBorders>
              <w:top w:val="single" w:sz="6" w:space="0" w:color="auto"/>
              <w:left w:val="single" w:sz="6" w:space="0" w:color="auto"/>
              <w:bottom w:val="single" w:sz="6" w:space="0" w:color="auto"/>
              <w:right w:val="single" w:sz="6" w:space="0" w:color="auto"/>
            </w:tcBorders>
          </w:tcPr>
          <w:p w14:paraId="31DACDBC"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97.5</w:t>
            </w:r>
          </w:p>
        </w:tc>
      </w:tr>
      <w:tr w:rsidR="001E1A5B" w:rsidRPr="00392E0D" w14:paraId="7F3296A4" w14:textId="77777777" w:rsidTr="00325C79">
        <w:trPr>
          <w:trHeight w:val="57"/>
        </w:trPr>
        <w:tc>
          <w:tcPr>
            <w:tcW w:w="2716" w:type="dxa"/>
            <w:tcBorders>
              <w:top w:val="single" w:sz="6" w:space="0" w:color="auto"/>
              <w:left w:val="single" w:sz="6" w:space="0" w:color="auto"/>
              <w:bottom w:val="single" w:sz="6" w:space="0" w:color="auto"/>
              <w:right w:val="single" w:sz="6" w:space="0" w:color="auto"/>
            </w:tcBorders>
          </w:tcPr>
          <w:p w14:paraId="5D22ABE6" w14:textId="044D74A9" w:rsidR="001E1A5B" w:rsidRPr="00392E0D" w:rsidRDefault="001E1A5B" w:rsidP="001E1A5B">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Australian Capital Territory</w:t>
            </w:r>
          </w:p>
        </w:tc>
        <w:tc>
          <w:tcPr>
            <w:tcW w:w="1191" w:type="dxa"/>
            <w:tcBorders>
              <w:top w:val="single" w:sz="6" w:space="0" w:color="auto"/>
              <w:left w:val="single" w:sz="6" w:space="0" w:color="auto"/>
              <w:bottom w:val="single" w:sz="6" w:space="0" w:color="auto"/>
              <w:right w:val="single" w:sz="6" w:space="0" w:color="auto"/>
            </w:tcBorders>
          </w:tcPr>
          <w:p w14:paraId="1629714C"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4,611</w:t>
            </w:r>
          </w:p>
        </w:tc>
        <w:tc>
          <w:tcPr>
            <w:tcW w:w="1191" w:type="dxa"/>
            <w:tcBorders>
              <w:top w:val="single" w:sz="6" w:space="0" w:color="auto"/>
              <w:left w:val="single" w:sz="6" w:space="0" w:color="auto"/>
              <w:bottom w:val="single" w:sz="6" w:space="0" w:color="auto"/>
              <w:right w:val="single" w:sz="6" w:space="0" w:color="auto"/>
            </w:tcBorders>
          </w:tcPr>
          <w:p w14:paraId="4EEC22D0"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104.2</w:t>
            </w:r>
          </w:p>
        </w:tc>
        <w:tc>
          <w:tcPr>
            <w:tcW w:w="1191" w:type="dxa"/>
            <w:tcBorders>
              <w:top w:val="single" w:sz="6" w:space="0" w:color="auto"/>
              <w:left w:val="single" w:sz="6" w:space="0" w:color="auto"/>
              <w:bottom w:val="single" w:sz="6" w:space="0" w:color="auto"/>
              <w:right w:val="single" w:sz="6" w:space="0" w:color="auto"/>
            </w:tcBorders>
          </w:tcPr>
          <w:p w14:paraId="540053DD"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5,106</w:t>
            </w:r>
          </w:p>
        </w:tc>
        <w:tc>
          <w:tcPr>
            <w:tcW w:w="1191" w:type="dxa"/>
            <w:tcBorders>
              <w:top w:val="single" w:sz="6" w:space="0" w:color="auto"/>
              <w:left w:val="single" w:sz="6" w:space="0" w:color="auto"/>
              <w:bottom w:val="single" w:sz="6" w:space="0" w:color="auto"/>
              <w:right w:val="single" w:sz="6" w:space="0" w:color="auto"/>
            </w:tcBorders>
          </w:tcPr>
          <w:p w14:paraId="2B9E1802"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99.9</w:t>
            </w:r>
          </w:p>
        </w:tc>
        <w:tc>
          <w:tcPr>
            <w:tcW w:w="1191" w:type="dxa"/>
            <w:tcBorders>
              <w:top w:val="single" w:sz="6" w:space="0" w:color="auto"/>
              <w:left w:val="single" w:sz="6" w:space="0" w:color="auto"/>
              <w:bottom w:val="single" w:sz="6" w:space="0" w:color="auto"/>
              <w:right w:val="single" w:sz="6" w:space="0" w:color="auto"/>
            </w:tcBorders>
          </w:tcPr>
          <w:p w14:paraId="6B0BCC95"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5,604</w:t>
            </w:r>
          </w:p>
        </w:tc>
        <w:tc>
          <w:tcPr>
            <w:tcW w:w="1191" w:type="dxa"/>
            <w:tcBorders>
              <w:top w:val="single" w:sz="6" w:space="0" w:color="auto"/>
              <w:left w:val="single" w:sz="6" w:space="0" w:color="auto"/>
              <w:bottom w:val="single" w:sz="6" w:space="0" w:color="auto"/>
              <w:right w:val="single" w:sz="6" w:space="0" w:color="auto"/>
            </w:tcBorders>
          </w:tcPr>
          <w:p w14:paraId="3EB45163"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99.3</w:t>
            </w:r>
          </w:p>
        </w:tc>
        <w:tc>
          <w:tcPr>
            <w:tcW w:w="1191" w:type="dxa"/>
            <w:tcBorders>
              <w:top w:val="single" w:sz="6" w:space="0" w:color="auto"/>
              <w:left w:val="single" w:sz="6" w:space="0" w:color="auto"/>
              <w:bottom w:val="single" w:sz="6" w:space="0" w:color="auto"/>
              <w:right w:val="single" w:sz="6" w:space="0" w:color="auto"/>
            </w:tcBorders>
          </w:tcPr>
          <w:p w14:paraId="26A3141D"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5,886</w:t>
            </w:r>
          </w:p>
        </w:tc>
        <w:tc>
          <w:tcPr>
            <w:tcW w:w="1191" w:type="dxa"/>
            <w:tcBorders>
              <w:top w:val="single" w:sz="6" w:space="0" w:color="auto"/>
              <w:left w:val="single" w:sz="6" w:space="0" w:color="auto"/>
              <w:bottom w:val="single" w:sz="6" w:space="0" w:color="auto"/>
              <w:right w:val="single" w:sz="6" w:space="0" w:color="auto"/>
            </w:tcBorders>
          </w:tcPr>
          <w:p w14:paraId="59476B82"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98.3</w:t>
            </w:r>
          </w:p>
        </w:tc>
        <w:tc>
          <w:tcPr>
            <w:tcW w:w="1191" w:type="dxa"/>
            <w:tcBorders>
              <w:top w:val="single" w:sz="6" w:space="0" w:color="auto"/>
              <w:left w:val="single" w:sz="6" w:space="0" w:color="auto"/>
              <w:bottom w:val="single" w:sz="6" w:space="0" w:color="auto"/>
              <w:right w:val="single" w:sz="6" w:space="0" w:color="auto"/>
            </w:tcBorders>
          </w:tcPr>
          <w:p w14:paraId="23F4454D" w14:textId="77777777" w:rsidR="001E1A5B" w:rsidRPr="00392E0D" w:rsidRDefault="001E1A5B" w:rsidP="00325C79">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5,951</w:t>
            </w:r>
          </w:p>
        </w:tc>
        <w:tc>
          <w:tcPr>
            <w:tcW w:w="1191" w:type="dxa"/>
            <w:tcBorders>
              <w:top w:val="single" w:sz="6" w:space="0" w:color="auto"/>
              <w:left w:val="single" w:sz="6" w:space="0" w:color="auto"/>
              <w:bottom w:val="single" w:sz="6" w:space="0" w:color="auto"/>
              <w:right w:val="single" w:sz="6" w:space="0" w:color="auto"/>
            </w:tcBorders>
          </w:tcPr>
          <w:p w14:paraId="6D13641A" w14:textId="77777777" w:rsidR="001E1A5B" w:rsidRPr="00392E0D" w:rsidRDefault="001E1A5B" w:rsidP="00325C7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98.4</w:t>
            </w:r>
          </w:p>
        </w:tc>
      </w:tr>
    </w:tbl>
    <w:p w14:paraId="20C46A75" w14:textId="77777777" w:rsidR="003F0F4E" w:rsidRPr="00392E0D" w:rsidRDefault="003F0F4E">
      <w:pPr>
        <w:widowControl/>
        <w:autoSpaceDE/>
        <w:autoSpaceDN/>
        <w:rPr>
          <w:rFonts w:ascii="Arial" w:eastAsia="Times New Roman" w:hAnsi="Arial" w:cs="Arial"/>
          <w:sz w:val="20"/>
          <w:szCs w:val="20"/>
        </w:rPr>
      </w:pPr>
      <w:r w:rsidRPr="00392E0D">
        <w:rPr>
          <w:rFonts w:ascii="Arial" w:hAnsi="Arial" w:cs="Arial"/>
          <w:sz w:val="20"/>
        </w:rPr>
        <w:br w:type="page"/>
      </w:r>
    </w:p>
    <w:p w14:paraId="1BAB0B8A" w14:textId="58B0C1FF" w:rsidR="001E1A5B" w:rsidRPr="00392E0D" w:rsidRDefault="003F0F4E" w:rsidP="003F0F4E">
      <w:pPr>
        <w:pStyle w:val="Heading2"/>
        <w:rPr>
          <w:rFonts w:cs="Arial"/>
        </w:rPr>
      </w:pPr>
      <w:r w:rsidRPr="00392E0D">
        <w:rPr>
          <w:rFonts w:cs="Arial"/>
        </w:rPr>
        <w:lastRenderedPageBreak/>
        <w:t>Demographic snapshot</w:t>
      </w:r>
    </w:p>
    <w:p w14:paraId="50B981D1" w14:textId="77777777" w:rsidR="003F0F4E" w:rsidRPr="00392E0D" w:rsidRDefault="003F0F4E" w:rsidP="003F0F4E">
      <w:pPr>
        <w:pStyle w:val="Body"/>
        <w:rPr>
          <w:rFonts w:cs="Arial"/>
        </w:rPr>
      </w:pPr>
      <w:r w:rsidRPr="00392E0D">
        <w:rPr>
          <w:rFonts w:cs="Arial"/>
        </w:rPr>
        <w:t>The Australian population is one of the most culturally and linguistically diverse in the world and this is reflected in the children included in the AEDC.</w:t>
      </w:r>
    </w:p>
    <w:p w14:paraId="1D6CB986" w14:textId="322A0038" w:rsidR="003F0F4E" w:rsidRPr="00392E0D" w:rsidRDefault="003F0F4E" w:rsidP="003F0F4E">
      <w:pPr>
        <w:pStyle w:val="Body"/>
        <w:rPr>
          <w:rFonts w:cs="Arial"/>
        </w:rPr>
      </w:pPr>
      <w:r w:rsidRPr="00392E0D">
        <w:rPr>
          <w:rFonts w:cs="Arial"/>
        </w:rPr>
        <w:t xml:space="preserve">As shown in Table </w:t>
      </w:r>
      <w:r w:rsidR="001424FD">
        <w:rPr>
          <w:rFonts w:cs="Arial"/>
        </w:rPr>
        <w:t>114</w:t>
      </w:r>
      <w:r w:rsidRPr="00392E0D">
        <w:rPr>
          <w:rFonts w:cs="Arial"/>
        </w:rPr>
        <w:t>, the percentage of boys and girls in the AEDC has remained stable over time. The percentage of Aboriginal and Torres Strait Islander children and children with English as a second language has gradually increased over time, both at their highest levels in 2021.</w:t>
      </w:r>
    </w:p>
    <w:p w14:paraId="3CA5D649" w14:textId="1853EADC" w:rsidR="003F0F4E" w:rsidRPr="00392E0D" w:rsidRDefault="003F0F4E" w:rsidP="003F0F4E">
      <w:pPr>
        <w:pStyle w:val="Body"/>
        <w:rPr>
          <w:rFonts w:cs="Arial"/>
        </w:rPr>
      </w:pPr>
      <w:r w:rsidRPr="00392E0D">
        <w:rPr>
          <w:rFonts w:cs="Arial"/>
        </w:rPr>
        <w:t>The percentage of children born in another country has also been steadily increasing since baseline but dropped to its lowest level in 2021, which may reflect the reduced migration due to border closures during COVID-19.</w:t>
      </w:r>
    </w:p>
    <w:p w14:paraId="100F27A2" w14:textId="7887FC50" w:rsidR="003F0F4E" w:rsidRPr="00392E0D" w:rsidRDefault="003F0F4E" w:rsidP="003F0F4E">
      <w:pPr>
        <w:pStyle w:val="Body"/>
        <w:rPr>
          <w:rFonts w:cs="Arial"/>
        </w:rPr>
      </w:pPr>
      <w:r w:rsidRPr="00392E0D">
        <w:rPr>
          <w:rFonts w:cs="Arial"/>
        </w:rPr>
        <w:t>The percentage of children with a Language Background Other Than English (</w:t>
      </w:r>
      <w:proofErr w:type="spellStart"/>
      <w:r w:rsidRPr="00392E0D">
        <w:rPr>
          <w:rFonts w:cs="Arial"/>
        </w:rPr>
        <w:t>LBOTE</w:t>
      </w:r>
      <w:proofErr w:type="spellEnd"/>
      <w:r w:rsidRPr="00392E0D">
        <w:rPr>
          <w:rFonts w:cs="Arial"/>
        </w:rPr>
        <w:t xml:space="preserve">) continued to increase in 2021, as shown in Table </w:t>
      </w:r>
      <w:r w:rsidR="001424FD">
        <w:rPr>
          <w:rFonts w:cs="Arial"/>
        </w:rPr>
        <w:t>115</w:t>
      </w:r>
      <w:r w:rsidRPr="00392E0D">
        <w:rPr>
          <w:rFonts w:cs="Arial"/>
        </w:rPr>
        <w:t>, with a corresponding decrease in children with English as their only language. Among children with English as their only language, there has been a small increase (0.5 percentage points) in those who are ‘Not proficient in English’ in their first year of full-time school in 2021, which contrasts with the declining trend between baseline and 2018.</w:t>
      </w:r>
    </w:p>
    <w:p w14:paraId="1A64359F" w14:textId="35C8FDBE" w:rsidR="00FA0F29" w:rsidRPr="00392E0D" w:rsidRDefault="00FA0F29" w:rsidP="00FA0F29">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114</w:t>
      </w:r>
      <w:r w:rsidRPr="00392E0D">
        <w:rPr>
          <w:rFonts w:cs="Arial"/>
        </w:rPr>
        <w:fldChar w:fldCharType="end"/>
      </w:r>
      <w:r w:rsidRPr="00392E0D">
        <w:rPr>
          <w:rFonts w:cs="Arial"/>
        </w:rPr>
        <w:tab/>
      </w:r>
      <w:r w:rsidRPr="00392E0D">
        <w:rPr>
          <w:rFonts w:eastAsiaTheme="minorHAnsi" w:cs="Arial"/>
        </w:rPr>
        <w:t>Demographic profile of children in the AEDC, by collection cycle</w:t>
      </w:r>
    </w:p>
    <w:tbl>
      <w:tblPr>
        <w:tblW w:w="0" w:type="auto"/>
        <w:tblInd w:w="-38" w:type="dxa"/>
        <w:tblLayout w:type="fixed"/>
        <w:tblLook w:val="0000" w:firstRow="0" w:lastRow="0" w:firstColumn="0" w:lastColumn="0" w:noHBand="0" w:noVBand="0"/>
      </w:tblPr>
      <w:tblGrid>
        <w:gridCol w:w="4425"/>
        <w:gridCol w:w="1048"/>
        <w:gridCol w:w="1049"/>
        <w:gridCol w:w="1049"/>
        <w:gridCol w:w="1049"/>
        <w:gridCol w:w="1049"/>
        <w:gridCol w:w="1049"/>
        <w:gridCol w:w="1049"/>
        <w:gridCol w:w="1049"/>
        <w:gridCol w:w="1049"/>
        <w:gridCol w:w="1049"/>
      </w:tblGrid>
      <w:tr w:rsidR="00FA0F29" w:rsidRPr="00392E0D" w14:paraId="109BCB1D" w14:textId="77777777" w:rsidTr="005579C0">
        <w:trPr>
          <w:cantSplit/>
          <w:trHeight w:val="287"/>
          <w:tblHeader/>
        </w:trPr>
        <w:tc>
          <w:tcPr>
            <w:tcW w:w="4425" w:type="dxa"/>
            <w:tcBorders>
              <w:top w:val="single" w:sz="6" w:space="0" w:color="auto"/>
              <w:left w:val="single" w:sz="6" w:space="0" w:color="auto"/>
              <w:bottom w:val="single" w:sz="6" w:space="0" w:color="auto"/>
              <w:right w:val="single" w:sz="6" w:space="0" w:color="auto"/>
            </w:tcBorders>
            <w:vAlign w:val="bottom"/>
          </w:tcPr>
          <w:p w14:paraId="093DA606"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p>
        </w:tc>
        <w:tc>
          <w:tcPr>
            <w:tcW w:w="1048" w:type="dxa"/>
            <w:tcBorders>
              <w:top w:val="single" w:sz="6" w:space="0" w:color="auto"/>
              <w:left w:val="single" w:sz="6" w:space="0" w:color="auto"/>
              <w:bottom w:val="single" w:sz="6" w:space="0" w:color="auto"/>
              <w:right w:val="single" w:sz="6" w:space="0" w:color="auto"/>
            </w:tcBorders>
            <w:vAlign w:val="bottom"/>
          </w:tcPr>
          <w:p w14:paraId="1D16DF0B"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 (n)</w:t>
            </w:r>
          </w:p>
        </w:tc>
        <w:tc>
          <w:tcPr>
            <w:tcW w:w="1049" w:type="dxa"/>
            <w:tcBorders>
              <w:top w:val="single" w:sz="6" w:space="0" w:color="auto"/>
              <w:left w:val="single" w:sz="6" w:space="0" w:color="auto"/>
              <w:bottom w:val="single" w:sz="6" w:space="0" w:color="auto"/>
              <w:right w:val="single" w:sz="6" w:space="0" w:color="auto"/>
            </w:tcBorders>
            <w:vAlign w:val="bottom"/>
          </w:tcPr>
          <w:p w14:paraId="11775894"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 (%)</w:t>
            </w:r>
          </w:p>
        </w:tc>
        <w:tc>
          <w:tcPr>
            <w:tcW w:w="1049" w:type="dxa"/>
            <w:tcBorders>
              <w:top w:val="single" w:sz="6" w:space="0" w:color="auto"/>
              <w:left w:val="single" w:sz="6" w:space="0" w:color="auto"/>
              <w:bottom w:val="single" w:sz="6" w:space="0" w:color="auto"/>
              <w:right w:val="single" w:sz="6" w:space="0" w:color="auto"/>
            </w:tcBorders>
            <w:vAlign w:val="bottom"/>
          </w:tcPr>
          <w:p w14:paraId="2A8DE65B"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 (n)</w:t>
            </w:r>
          </w:p>
        </w:tc>
        <w:tc>
          <w:tcPr>
            <w:tcW w:w="1049" w:type="dxa"/>
            <w:tcBorders>
              <w:top w:val="single" w:sz="6" w:space="0" w:color="auto"/>
              <w:left w:val="single" w:sz="6" w:space="0" w:color="auto"/>
              <w:bottom w:val="single" w:sz="6" w:space="0" w:color="auto"/>
              <w:right w:val="single" w:sz="6" w:space="0" w:color="auto"/>
            </w:tcBorders>
            <w:vAlign w:val="bottom"/>
          </w:tcPr>
          <w:p w14:paraId="20CAFA91"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 (%)</w:t>
            </w:r>
          </w:p>
        </w:tc>
        <w:tc>
          <w:tcPr>
            <w:tcW w:w="1049" w:type="dxa"/>
            <w:tcBorders>
              <w:top w:val="single" w:sz="6" w:space="0" w:color="auto"/>
              <w:left w:val="single" w:sz="6" w:space="0" w:color="auto"/>
              <w:bottom w:val="single" w:sz="6" w:space="0" w:color="auto"/>
              <w:right w:val="single" w:sz="6" w:space="0" w:color="auto"/>
            </w:tcBorders>
            <w:vAlign w:val="bottom"/>
          </w:tcPr>
          <w:p w14:paraId="25FB476C"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 (n)</w:t>
            </w:r>
          </w:p>
        </w:tc>
        <w:tc>
          <w:tcPr>
            <w:tcW w:w="1049" w:type="dxa"/>
            <w:tcBorders>
              <w:top w:val="single" w:sz="6" w:space="0" w:color="auto"/>
              <w:left w:val="single" w:sz="6" w:space="0" w:color="auto"/>
              <w:bottom w:val="single" w:sz="6" w:space="0" w:color="auto"/>
              <w:right w:val="single" w:sz="6" w:space="0" w:color="auto"/>
            </w:tcBorders>
            <w:vAlign w:val="bottom"/>
          </w:tcPr>
          <w:p w14:paraId="33EFBD4C"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 (%)</w:t>
            </w:r>
          </w:p>
        </w:tc>
        <w:tc>
          <w:tcPr>
            <w:tcW w:w="1049" w:type="dxa"/>
            <w:tcBorders>
              <w:top w:val="single" w:sz="6" w:space="0" w:color="auto"/>
              <w:left w:val="single" w:sz="6" w:space="0" w:color="auto"/>
              <w:bottom w:val="single" w:sz="6" w:space="0" w:color="auto"/>
              <w:right w:val="single" w:sz="6" w:space="0" w:color="auto"/>
            </w:tcBorders>
            <w:vAlign w:val="bottom"/>
          </w:tcPr>
          <w:p w14:paraId="0F3DD5E4"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 (n)</w:t>
            </w:r>
          </w:p>
        </w:tc>
        <w:tc>
          <w:tcPr>
            <w:tcW w:w="1049" w:type="dxa"/>
            <w:tcBorders>
              <w:top w:val="single" w:sz="6" w:space="0" w:color="auto"/>
              <w:left w:val="single" w:sz="6" w:space="0" w:color="auto"/>
              <w:bottom w:val="single" w:sz="6" w:space="0" w:color="auto"/>
              <w:right w:val="single" w:sz="6" w:space="0" w:color="auto"/>
            </w:tcBorders>
            <w:vAlign w:val="bottom"/>
          </w:tcPr>
          <w:p w14:paraId="52435808"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 (%)</w:t>
            </w:r>
          </w:p>
        </w:tc>
        <w:tc>
          <w:tcPr>
            <w:tcW w:w="1049" w:type="dxa"/>
            <w:tcBorders>
              <w:top w:val="single" w:sz="6" w:space="0" w:color="auto"/>
              <w:left w:val="single" w:sz="6" w:space="0" w:color="auto"/>
              <w:bottom w:val="single" w:sz="6" w:space="0" w:color="auto"/>
              <w:right w:val="single" w:sz="6" w:space="0" w:color="auto"/>
            </w:tcBorders>
            <w:vAlign w:val="bottom"/>
          </w:tcPr>
          <w:p w14:paraId="7C94FA54"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 (n)</w:t>
            </w:r>
          </w:p>
        </w:tc>
        <w:tc>
          <w:tcPr>
            <w:tcW w:w="1049" w:type="dxa"/>
            <w:tcBorders>
              <w:top w:val="single" w:sz="6" w:space="0" w:color="auto"/>
              <w:left w:val="single" w:sz="6" w:space="0" w:color="auto"/>
              <w:bottom w:val="single" w:sz="6" w:space="0" w:color="auto"/>
              <w:right w:val="single" w:sz="6" w:space="0" w:color="auto"/>
            </w:tcBorders>
            <w:vAlign w:val="bottom"/>
          </w:tcPr>
          <w:p w14:paraId="7A545708" w14:textId="77777777" w:rsidR="00FA0F29" w:rsidRPr="00392E0D" w:rsidRDefault="00FA0F29" w:rsidP="00FA0F29">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 (%)</w:t>
            </w:r>
          </w:p>
        </w:tc>
      </w:tr>
      <w:tr w:rsidR="00FA0F29" w:rsidRPr="00392E0D" w14:paraId="24C6E789"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43CBDF17" w14:textId="77777777" w:rsidR="00FA0F29" w:rsidRPr="00392E0D" w:rsidRDefault="00FA0F29" w:rsidP="00FA0F29">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Male</w:t>
            </w:r>
          </w:p>
        </w:tc>
        <w:tc>
          <w:tcPr>
            <w:tcW w:w="1048" w:type="dxa"/>
            <w:tcBorders>
              <w:top w:val="single" w:sz="6" w:space="0" w:color="auto"/>
              <w:left w:val="single" w:sz="6" w:space="0" w:color="auto"/>
              <w:bottom w:val="single" w:sz="6" w:space="0" w:color="auto"/>
              <w:right w:val="single" w:sz="6" w:space="0" w:color="auto"/>
            </w:tcBorders>
          </w:tcPr>
          <w:p w14:paraId="7F3A6119" w14:textId="37B11FED"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134,031</w:t>
            </w:r>
          </w:p>
        </w:tc>
        <w:tc>
          <w:tcPr>
            <w:tcW w:w="1049" w:type="dxa"/>
            <w:tcBorders>
              <w:top w:val="single" w:sz="6" w:space="0" w:color="auto"/>
              <w:left w:val="single" w:sz="6" w:space="0" w:color="auto"/>
              <w:bottom w:val="single" w:sz="6" w:space="0" w:color="auto"/>
              <w:right w:val="single" w:sz="6" w:space="0" w:color="auto"/>
            </w:tcBorders>
          </w:tcPr>
          <w:p w14:paraId="7DAC03EC"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51.3</w:t>
            </w:r>
          </w:p>
        </w:tc>
        <w:tc>
          <w:tcPr>
            <w:tcW w:w="1049" w:type="dxa"/>
            <w:tcBorders>
              <w:top w:val="single" w:sz="6" w:space="0" w:color="auto"/>
              <w:left w:val="single" w:sz="6" w:space="0" w:color="auto"/>
              <w:bottom w:val="single" w:sz="6" w:space="0" w:color="auto"/>
              <w:right w:val="single" w:sz="6" w:space="0" w:color="auto"/>
            </w:tcBorders>
          </w:tcPr>
          <w:p w14:paraId="4B1F8113" w14:textId="67619767"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148,985</w:t>
            </w:r>
          </w:p>
        </w:tc>
        <w:tc>
          <w:tcPr>
            <w:tcW w:w="1049" w:type="dxa"/>
            <w:tcBorders>
              <w:top w:val="single" w:sz="6" w:space="0" w:color="auto"/>
              <w:left w:val="single" w:sz="6" w:space="0" w:color="auto"/>
              <w:bottom w:val="single" w:sz="6" w:space="0" w:color="auto"/>
              <w:right w:val="single" w:sz="6" w:space="0" w:color="auto"/>
            </w:tcBorders>
          </w:tcPr>
          <w:p w14:paraId="12A797FD"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51.4</w:t>
            </w:r>
          </w:p>
        </w:tc>
        <w:tc>
          <w:tcPr>
            <w:tcW w:w="1049" w:type="dxa"/>
            <w:tcBorders>
              <w:top w:val="single" w:sz="6" w:space="0" w:color="auto"/>
              <w:left w:val="single" w:sz="6" w:space="0" w:color="auto"/>
              <w:bottom w:val="single" w:sz="6" w:space="0" w:color="auto"/>
              <w:right w:val="single" w:sz="6" w:space="0" w:color="auto"/>
            </w:tcBorders>
          </w:tcPr>
          <w:p w14:paraId="427E6F78" w14:textId="166C7254"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154,846</w:t>
            </w:r>
          </w:p>
        </w:tc>
        <w:tc>
          <w:tcPr>
            <w:tcW w:w="1049" w:type="dxa"/>
            <w:tcBorders>
              <w:top w:val="single" w:sz="6" w:space="0" w:color="auto"/>
              <w:left w:val="single" w:sz="6" w:space="0" w:color="auto"/>
              <w:bottom w:val="single" w:sz="6" w:space="0" w:color="auto"/>
              <w:right w:val="single" w:sz="6" w:space="0" w:color="auto"/>
            </w:tcBorders>
          </w:tcPr>
          <w:p w14:paraId="07872F08"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51.3</w:t>
            </w:r>
          </w:p>
        </w:tc>
        <w:tc>
          <w:tcPr>
            <w:tcW w:w="1049" w:type="dxa"/>
            <w:tcBorders>
              <w:top w:val="single" w:sz="6" w:space="0" w:color="auto"/>
              <w:left w:val="single" w:sz="6" w:space="0" w:color="auto"/>
              <w:bottom w:val="single" w:sz="6" w:space="0" w:color="auto"/>
              <w:right w:val="single" w:sz="6" w:space="0" w:color="auto"/>
            </w:tcBorders>
          </w:tcPr>
          <w:p w14:paraId="6823F09D" w14:textId="12E99C49"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158,894</w:t>
            </w:r>
          </w:p>
        </w:tc>
        <w:tc>
          <w:tcPr>
            <w:tcW w:w="1049" w:type="dxa"/>
            <w:tcBorders>
              <w:top w:val="single" w:sz="6" w:space="0" w:color="auto"/>
              <w:left w:val="single" w:sz="6" w:space="0" w:color="auto"/>
              <w:bottom w:val="single" w:sz="6" w:space="0" w:color="auto"/>
              <w:right w:val="single" w:sz="6" w:space="0" w:color="auto"/>
            </w:tcBorders>
          </w:tcPr>
          <w:p w14:paraId="45D2A568"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51.4</w:t>
            </w:r>
          </w:p>
        </w:tc>
        <w:tc>
          <w:tcPr>
            <w:tcW w:w="1049" w:type="dxa"/>
            <w:tcBorders>
              <w:top w:val="single" w:sz="6" w:space="0" w:color="auto"/>
              <w:left w:val="single" w:sz="6" w:space="0" w:color="auto"/>
              <w:bottom w:val="single" w:sz="6" w:space="0" w:color="auto"/>
              <w:right w:val="single" w:sz="6" w:space="0" w:color="auto"/>
            </w:tcBorders>
          </w:tcPr>
          <w:p w14:paraId="3D204F9D" w14:textId="26027F8C"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156,737</w:t>
            </w:r>
          </w:p>
        </w:tc>
        <w:tc>
          <w:tcPr>
            <w:tcW w:w="1049" w:type="dxa"/>
            <w:tcBorders>
              <w:top w:val="single" w:sz="6" w:space="0" w:color="auto"/>
              <w:left w:val="single" w:sz="6" w:space="0" w:color="auto"/>
              <w:bottom w:val="single" w:sz="6" w:space="0" w:color="auto"/>
              <w:right w:val="single" w:sz="6" w:space="0" w:color="auto"/>
            </w:tcBorders>
          </w:tcPr>
          <w:p w14:paraId="1B9B02CB" w14:textId="77777777" w:rsidR="00FA0F29" w:rsidRPr="00392E0D" w:rsidRDefault="00FA0F29" w:rsidP="00FA0F29">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51.4</w:t>
            </w:r>
          </w:p>
        </w:tc>
      </w:tr>
      <w:tr w:rsidR="00FA0F29" w:rsidRPr="00392E0D" w14:paraId="299B5B66"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7DAD38AD" w14:textId="77777777" w:rsidR="00FA0F29" w:rsidRPr="00392E0D" w:rsidRDefault="00FA0F29" w:rsidP="00FA0F29">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Female </w:t>
            </w:r>
          </w:p>
        </w:tc>
        <w:tc>
          <w:tcPr>
            <w:tcW w:w="1048" w:type="dxa"/>
            <w:tcBorders>
              <w:top w:val="single" w:sz="6" w:space="0" w:color="auto"/>
              <w:left w:val="single" w:sz="6" w:space="0" w:color="auto"/>
              <w:bottom w:val="single" w:sz="6" w:space="0" w:color="auto"/>
              <w:right w:val="single" w:sz="6" w:space="0" w:color="auto"/>
            </w:tcBorders>
          </w:tcPr>
          <w:p w14:paraId="796430BE" w14:textId="413120F2"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127,116</w:t>
            </w:r>
          </w:p>
        </w:tc>
        <w:tc>
          <w:tcPr>
            <w:tcW w:w="1049" w:type="dxa"/>
            <w:tcBorders>
              <w:top w:val="single" w:sz="6" w:space="0" w:color="auto"/>
              <w:left w:val="single" w:sz="6" w:space="0" w:color="auto"/>
              <w:bottom w:val="single" w:sz="6" w:space="0" w:color="auto"/>
              <w:right w:val="single" w:sz="6" w:space="0" w:color="auto"/>
            </w:tcBorders>
          </w:tcPr>
          <w:p w14:paraId="13AED872"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48.7</w:t>
            </w:r>
          </w:p>
        </w:tc>
        <w:tc>
          <w:tcPr>
            <w:tcW w:w="1049" w:type="dxa"/>
            <w:tcBorders>
              <w:top w:val="single" w:sz="6" w:space="0" w:color="auto"/>
              <w:left w:val="single" w:sz="6" w:space="0" w:color="auto"/>
              <w:bottom w:val="single" w:sz="6" w:space="0" w:color="auto"/>
              <w:right w:val="single" w:sz="6" w:space="0" w:color="auto"/>
            </w:tcBorders>
          </w:tcPr>
          <w:p w14:paraId="35B244C9" w14:textId="33EDDE79"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140,988</w:t>
            </w:r>
          </w:p>
        </w:tc>
        <w:tc>
          <w:tcPr>
            <w:tcW w:w="1049" w:type="dxa"/>
            <w:tcBorders>
              <w:top w:val="single" w:sz="6" w:space="0" w:color="auto"/>
              <w:left w:val="single" w:sz="6" w:space="0" w:color="auto"/>
              <w:bottom w:val="single" w:sz="6" w:space="0" w:color="auto"/>
              <w:right w:val="single" w:sz="6" w:space="0" w:color="auto"/>
            </w:tcBorders>
          </w:tcPr>
          <w:p w14:paraId="1305B5C7"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48.6</w:t>
            </w:r>
          </w:p>
        </w:tc>
        <w:tc>
          <w:tcPr>
            <w:tcW w:w="1049" w:type="dxa"/>
            <w:tcBorders>
              <w:top w:val="single" w:sz="6" w:space="0" w:color="auto"/>
              <w:left w:val="single" w:sz="6" w:space="0" w:color="auto"/>
              <w:bottom w:val="single" w:sz="6" w:space="0" w:color="auto"/>
              <w:right w:val="single" w:sz="6" w:space="0" w:color="auto"/>
            </w:tcBorders>
          </w:tcPr>
          <w:p w14:paraId="5D1B5634" w14:textId="0F37EDDC"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147,157</w:t>
            </w:r>
          </w:p>
        </w:tc>
        <w:tc>
          <w:tcPr>
            <w:tcW w:w="1049" w:type="dxa"/>
            <w:tcBorders>
              <w:top w:val="single" w:sz="6" w:space="0" w:color="auto"/>
              <w:left w:val="single" w:sz="6" w:space="0" w:color="auto"/>
              <w:bottom w:val="single" w:sz="6" w:space="0" w:color="auto"/>
              <w:right w:val="single" w:sz="6" w:space="0" w:color="auto"/>
            </w:tcBorders>
          </w:tcPr>
          <w:p w14:paraId="7CC6EA98"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48.7</w:t>
            </w:r>
          </w:p>
        </w:tc>
        <w:tc>
          <w:tcPr>
            <w:tcW w:w="1049" w:type="dxa"/>
            <w:tcBorders>
              <w:top w:val="single" w:sz="6" w:space="0" w:color="auto"/>
              <w:left w:val="single" w:sz="6" w:space="0" w:color="auto"/>
              <w:bottom w:val="single" w:sz="6" w:space="0" w:color="auto"/>
              <w:right w:val="single" w:sz="6" w:space="0" w:color="auto"/>
            </w:tcBorders>
          </w:tcPr>
          <w:p w14:paraId="7622C406" w14:textId="3E6842B3"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150,059</w:t>
            </w:r>
          </w:p>
        </w:tc>
        <w:tc>
          <w:tcPr>
            <w:tcW w:w="1049" w:type="dxa"/>
            <w:tcBorders>
              <w:top w:val="single" w:sz="6" w:space="0" w:color="auto"/>
              <w:left w:val="single" w:sz="6" w:space="0" w:color="auto"/>
              <w:bottom w:val="single" w:sz="6" w:space="0" w:color="auto"/>
              <w:right w:val="single" w:sz="6" w:space="0" w:color="auto"/>
            </w:tcBorders>
          </w:tcPr>
          <w:p w14:paraId="2EC70F4B"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48.6</w:t>
            </w:r>
          </w:p>
        </w:tc>
        <w:tc>
          <w:tcPr>
            <w:tcW w:w="1049" w:type="dxa"/>
            <w:tcBorders>
              <w:top w:val="single" w:sz="6" w:space="0" w:color="auto"/>
              <w:left w:val="single" w:sz="6" w:space="0" w:color="auto"/>
              <w:bottom w:val="single" w:sz="6" w:space="0" w:color="auto"/>
              <w:right w:val="single" w:sz="6" w:space="0" w:color="auto"/>
            </w:tcBorders>
          </w:tcPr>
          <w:p w14:paraId="25A2867E" w14:textId="11527125"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148,278</w:t>
            </w:r>
          </w:p>
        </w:tc>
        <w:tc>
          <w:tcPr>
            <w:tcW w:w="1049" w:type="dxa"/>
            <w:tcBorders>
              <w:top w:val="single" w:sz="6" w:space="0" w:color="auto"/>
              <w:left w:val="single" w:sz="6" w:space="0" w:color="auto"/>
              <w:bottom w:val="single" w:sz="6" w:space="0" w:color="auto"/>
              <w:right w:val="single" w:sz="6" w:space="0" w:color="auto"/>
            </w:tcBorders>
          </w:tcPr>
          <w:p w14:paraId="670E45DF" w14:textId="77777777" w:rsidR="00FA0F29" w:rsidRPr="00392E0D" w:rsidRDefault="00FA0F29" w:rsidP="00FA0F29">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48.6</w:t>
            </w:r>
          </w:p>
        </w:tc>
      </w:tr>
      <w:tr w:rsidR="00FA0F29" w:rsidRPr="00392E0D" w14:paraId="72CE96F0"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480E144C" w14:textId="77777777" w:rsidR="00FA0F29" w:rsidRPr="00392E0D" w:rsidRDefault="00FA0F29" w:rsidP="00FA0F29">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Aboriginal and Torres Strait Islander children</w:t>
            </w:r>
          </w:p>
        </w:tc>
        <w:tc>
          <w:tcPr>
            <w:tcW w:w="1048" w:type="dxa"/>
            <w:tcBorders>
              <w:top w:val="single" w:sz="6" w:space="0" w:color="auto"/>
              <w:left w:val="single" w:sz="6" w:space="0" w:color="auto"/>
              <w:bottom w:val="single" w:sz="6" w:space="0" w:color="auto"/>
              <w:right w:val="single" w:sz="6" w:space="0" w:color="auto"/>
            </w:tcBorders>
          </w:tcPr>
          <w:p w14:paraId="5F2D82F2" w14:textId="5F0FBB58"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12,416</w:t>
            </w:r>
          </w:p>
        </w:tc>
        <w:tc>
          <w:tcPr>
            <w:tcW w:w="1049" w:type="dxa"/>
            <w:tcBorders>
              <w:top w:val="single" w:sz="6" w:space="0" w:color="auto"/>
              <w:left w:val="single" w:sz="6" w:space="0" w:color="auto"/>
              <w:bottom w:val="single" w:sz="6" w:space="0" w:color="auto"/>
              <w:right w:val="single" w:sz="6" w:space="0" w:color="auto"/>
            </w:tcBorders>
          </w:tcPr>
          <w:p w14:paraId="700567DC"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4.8</w:t>
            </w:r>
          </w:p>
        </w:tc>
        <w:tc>
          <w:tcPr>
            <w:tcW w:w="1049" w:type="dxa"/>
            <w:tcBorders>
              <w:top w:val="single" w:sz="6" w:space="0" w:color="auto"/>
              <w:left w:val="single" w:sz="6" w:space="0" w:color="auto"/>
              <w:bottom w:val="single" w:sz="6" w:space="0" w:color="auto"/>
              <w:right w:val="single" w:sz="6" w:space="0" w:color="auto"/>
            </w:tcBorders>
          </w:tcPr>
          <w:p w14:paraId="1A6E5CFC" w14:textId="61CD93CE"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15,490</w:t>
            </w:r>
          </w:p>
        </w:tc>
        <w:tc>
          <w:tcPr>
            <w:tcW w:w="1049" w:type="dxa"/>
            <w:tcBorders>
              <w:top w:val="single" w:sz="6" w:space="0" w:color="auto"/>
              <w:left w:val="single" w:sz="6" w:space="0" w:color="auto"/>
              <w:bottom w:val="single" w:sz="6" w:space="0" w:color="auto"/>
              <w:right w:val="single" w:sz="6" w:space="0" w:color="auto"/>
            </w:tcBorders>
          </w:tcPr>
          <w:p w14:paraId="16F1DEFB"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5.3</w:t>
            </w:r>
          </w:p>
        </w:tc>
        <w:tc>
          <w:tcPr>
            <w:tcW w:w="1049" w:type="dxa"/>
            <w:tcBorders>
              <w:top w:val="single" w:sz="6" w:space="0" w:color="auto"/>
              <w:left w:val="single" w:sz="6" w:space="0" w:color="auto"/>
              <w:bottom w:val="single" w:sz="6" w:space="0" w:color="auto"/>
              <w:right w:val="single" w:sz="6" w:space="0" w:color="auto"/>
            </w:tcBorders>
          </w:tcPr>
          <w:p w14:paraId="5803F5D5" w14:textId="5CC098FC"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17,351</w:t>
            </w:r>
          </w:p>
        </w:tc>
        <w:tc>
          <w:tcPr>
            <w:tcW w:w="1049" w:type="dxa"/>
            <w:tcBorders>
              <w:top w:val="single" w:sz="6" w:space="0" w:color="auto"/>
              <w:left w:val="single" w:sz="6" w:space="0" w:color="auto"/>
              <w:bottom w:val="single" w:sz="6" w:space="0" w:color="auto"/>
              <w:right w:val="single" w:sz="6" w:space="0" w:color="auto"/>
            </w:tcBorders>
          </w:tcPr>
          <w:p w14:paraId="2AFAE47E"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5.7</w:t>
            </w:r>
          </w:p>
        </w:tc>
        <w:tc>
          <w:tcPr>
            <w:tcW w:w="1049" w:type="dxa"/>
            <w:tcBorders>
              <w:top w:val="single" w:sz="6" w:space="0" w:color="auto"/>
              <w:left w:val="single" w:sz="6" w:space="0" w:color="auto"/>
              <w:bottom w:val="single" w:sz="6" w:space="0" w:color="auto"/>
              <w:right w:val="single" w:sz="6" w:space="0" w:color="auto"/>
            </w:tcBorders>
          </w:tcPr>
          <w:p w14:paraId="761C6FC4" w14:textId="62B84789"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19,074</w:t>
            </w:r>
          </w:p>
        </w:tc>
        <w:tc>
          <w:tcPr>
            <w:tcW w:w="1049" w:type="dxa"/>
            <w:tcBorders>
              <w:top w:val="single" w:sz="6" w:space="0" w:color="auto"/>
              <w:left w:val="single" w:sz="6" w:space="0" w:color="auto"/>
              <w:bottom w:val="single" w:sz="6" w:space="0" w:color="auto"/>
              <w:right w:val="single" w:sz="6" w:space="0" w:color="auto"/>
            </w:tcBorders>
          </w:tcPr>
          <w:p w14:paraId="3BF8A2AC"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6.2</w:t>
            </w:r>
          </w:p>
        </w:tc>
        <w:tc>
          <w:tcPr>
            <w:tcW w:w="1049" w:type="dxa"/>
            <w:tcBorders>
              <w:top w:val="single" w:sz="6" w:space="0" w:color="auto"/>
              <w:left w:val="single" w:sz="6" w:space="0" w:color="auto"/>
              <w:bottom w:val="single" w:sz="6" w:space="0" w:color="auto"/>
              <w:right w:val="single" w:sz="6" w:space="0" w:color="auto"/>
            </w:tcBorders>
          </w:tcPr>
          <w:p w14:paraId="4C856CB0" w14:textId="35325B71"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20,646</w:t>
            </w:r>
          </w:p>
        </w:tc>
        <w:tc>
          <w:tcPr>
            <w:tcW w:w="1049" w:type="dxa"/>
            <w:tcBorders>
              <w:top w:val="single" w:sz="6" w:space="0" w:color="auto"/>
              <w:left w:val="single" w:sz="6" w:space="0" w:color="auto"/>
              <w:bottom w:val="single" w:sz="6" w:space="0" w:color="auto"/>
              <w:right w:val="single" w:sz="6" w:space="0" w:color="auto"/>
            </w:tcBorders>
          </w:tcPr>
          <w:p w14:paraId="35A76B5D" w14:textId="77777777" w:rsidR="00FA0F29" w:rsidRPr="00392E0D" w:rsidRDefault="00FA0F29" w:rsidP="00FA0F29">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w:t>
            </w:r>
          </w:p>
        </w:tc>
      </w:tr>
      <w:tr w:rsidR="00FA0F29" w:rsidRPr="00392E0D" w14:paraId="5F9F60A6"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7A817251" w14:textId="77777777" w:rsidR="00FA0F29" w:rsidRPr="00392E0D" w:rsidRDefault="00FA0F29" w:rsidP="00FA0F29">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 born in another country</w:t>
            </w:r>
          </w:p>
        </w:tc>
        <w:tc>
          <w:tcPr>
            <w:tcW w:w="1048" w:type="dxa"/>
            <w:tcBorders>
              <w:top w:val="single" w:sz="6" w:space="0" w:color="auto"/>
              <w:left w:val="single" w:sz="6" w:space="0" w:color="auto"/>
              <w:bottom w:val="single" w:sz="6" w:space="0" w:color="auto"/>
              <w:right w:val="single" w:sz="6" w:space="0" w:color="auto"/>
            </w:tcBorders>
          </w:tcPr>
          <w:p w14:paraId="530B7474" w14:textId="581D47EA"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16,834</w:t>
            </w:r>
          </w:p>
        </w:tc>
        <w:tc>
          <w:tcPr>
            <w:tcW w:w="1049" w:type="dxa"/>
            <w:tcBorders>
              <w:top w:val="single" w:sz="6" w:space="0" w:color="auto"/>
              <w:left w:val="single" w:sz="6" w:space="0" w:color="auto"/>
              <w:bottom w:val="single" w:sz="6" w:space="0" w:color="auto"/>
              <w:right w:val="single" w:sz="6" w:space="0" w:color="auto"/>
            </w:tcBorders>
          </w:tcPr>
          <w:p w14:paraId="797F56AF"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6.5</w:t>
            </w:r>
          </w:p>
        </w:tc>
        <w:tc>
          <w:tcPr>
            <w:tcW w:w="1049" w:type="dxa"/>
            <w:tcBorders>
              <w:top w:val="single" w:sz="6" w:space="0" w:color="auto"/>
              <w:left w:val="single" w:sz="6" w:space="0" w:color="auto"/>
              <w:bottom w:val="single" w:sz="6" w:space="0" w:color="auto"/>
              <w:right w:val="single" w:sz="6" w:space="0" w:color="auto"/>
            </w:tcBorders>
          </w:tcPr>
          <w:p w14:paraId="252D81E5" w14:textId="69474A9A"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21,675</w:t>
            </w:r>
          </w:p>
        </w:tc>
        <w:tc>
          <w:tcPr>
            <w:tcW w:w="1049" w:type="dxa"/>
            <w:tcBorders>
              <w:top w:val="single" w:sz="6" w:space="0" w:color="auto"/>
              <w:left w:val="single" w:sz="6" w:space="0" w:color="auto"/>
              <w:bottom w:val="single" w:sz="6" w:space="0" w:color="auto"/>
              <w:right w:val="single" w:sz="6" w:space="0" w:color="auto"/>
            </w:tcBorders>
          </w:tcPr>
          <w:p w14:paraId="5DDCEDA7"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w:t>
            </w:r>
          </w:p>
        </w:tc>
        <w:tc>
          <w:tcPr>
            <w:tcW w:w="1049" w:type="dxa"/>
            <w:tcBorders>
              <w:top w:val="single" w:sz="6" w:space="0" w:color="auto"/>
              <w:left w:val="single" w:sz="6" w:space="0" w:color="auto"/>
              <w:bottom w:val="single" w:sz="6" w:space="0" w:color="auto"/>
              <w:right w:val="single" w:sz="6" w:space="0" w:color="auto"/>
            </w:tcBorders>
          </w:tcPr>
          <w:p w14:paraId="7F961A19" w14:textId="2AB2BBD5"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21,212</w:t>
            </w:r>
          </w:p>
        </w:tc>
        <w:tc>
          <w:tcPr>
            <w:tcW w:w="1049" w:type="dxa"/>
            <w:tcBorders>
              <w:top w:val="single" w:sz="6" w:space="0" w:color="auto"/>
              <w:left w:val="single" w:sz="6" w:space="0" w:color="auto"/>
              <w:bottom w:val="single" w:sz="6" w:space="0" w:color="auto"/>
              <w:right w:val="single" w:sz="6" w:space="0" w:color="auto"/>
            </w:tcBorders>
          </w:tcPr>
          <w:p w14:paraId="3C7429A4"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w:t>
            </w:r>
          </w:p>
        </w:tc>
        <w:tc>
          <w:tcPr>
            <w:tcW w:w="1049" w:type="dxa"/>
            <w:tcBorders>
              <w:top w:val="single" w:sz="6" w:space="0" w:color="auto"/>
              <w:left w:val="single" w:sz="6" w:space="0" w:color="auto"/>
              <w:bottom w:val="single" w:sz="6" w:space="0" w:color="auto"/>
              <w:right w:val="single" w:sz="6" w:space="0" w:color="auto"/>
            </w:tcBorders>
          </w:tcPr>
          <w:p w14:paraId="4F6E5C75" w14:textId="5EE5A806"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22,971</w:t>
            </w:r>
          </w:p>
        </w:tc>
        <w:tc>
          <w:tcPr>
            <w:tcW w:w="1049" w:type="dxa"/>
            <w:tcBorders>
              <w:top w:val="single" w:sz="6" w:space="0" w:color="auto"/>
              <w:left w:val="single" w:sz="6" w:space="0" w:color="auto"/>
              <w:bottom w:val="single" w:sz="6" w:space="0" w:color="auto"/>
              <w:right w:val="single" w:sz="6" w:space="0" w:color="auto"/>
            </w:tcBorders>
          </w:tcPr>
          <w:p w14:paraId="57DDD336"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w:t>
            </w:r>
          </w:p>
        </w:tc>
        <w:tc>
          <w:tcPr>
            <w:tcW w:w="1049" w:type="dxa"/>
            <w:tcBorders>
              <w:top w:val="single" w:sz="6" w:space="0" w:color="auto"/>
              <w:left w:val="single" w:sz="6" w:space="0" w:color="auto"/>
              <w:bottom w:val="single" w:sz="6" w:space="0" w:color="auto"/>
              <w:right w:val="single" w:sz="6" w:space="0" w:color="auto"/>
            </w:tcBorders>
          </w:tcPr>
          <w:p w14:paraId="73FCAF3B" w14:textId="58CC9E0A"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17,908</w:t>
            </w:r>
          </w:p>
        </w:tc>
        <w:tc>
          <w:tcPr>
            <w:tcW w:w="1049" w:type="dxa"/>
            <w:tcBorders>
              <w:top w:val="single" w:sz="6" w:space="0" w:color="auto"/>
              <w:left w:val="single" w:sz="6" w:space="0" w:color="auto"/>
              <w:bottom w:val="single" w:sz="6" w:space="0" w:color="auto"/>
              <w:right w:val="single" w:sz="6" w:space="0" w:color="auto"/>
            </w:tcBorders>
          </w:tcPr>
          <w:p w14:paraId="3FDB6ADC" w14:textId="77777777" w:rsidR="00FA0F29" w:rsidRPr="00392E0D" w:rsidRDefault="00FA0F29" w:rsidP="00FA0F29">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5.9</w:t>
            </w:r>
          </w:p>
        </w:tc>
      </w:tr>
      <w:tr w:rsidR="00FA0F29" w:rsidRPr="00392E0D" w14:paraId="57FEA98C"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004B9B46" w14:textId="77777777" w:rsidR="00FA0F29" w:rsidRPr="00392E0D" w:rsidRDefault="00FA0F29" w:rsidP="00FA0F29">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 with English as a second language</w:t>
            </w:r>
          </w:p>
        </w:tc>
        <w:tc>
          <w:tcPr>
            <w:tcW w:w="1048" w:type="dxa"/>
            <w:tcBorders>
              <w:top w:val="single" w:sz="6" w:space="0" w:color="auto"/>
              <w:left w:val="single" w:sz="6" w:space="0" w:color="auto"/>
              <w:bottom w:val="single" w:sz="6" w:space="0" w:color="auto"/>
              <w:right w:val="single" w:sz="6" w:space="0" w:color="auto"/>
            </w:tcBorders>
          </w:tcPr>
          <w:p w14:paraId="6F906D2C" w14:textId="3BADB27F"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33,526</w:t>
            </w:r>
          </w:p>
        </w:tc>
        <w:tc>
          <w:tcPr>
            <w:tcW w:w="1049" w:type="dxa"/>
            <w:tcBorders>
              <w:top w:val="single" w:sz="6" w:space="0" w:color="auto"/>
              <w:left w:val="single" w:sz="6" w:space="0" w:color="auto"/>
              <w:bottom w:val="single" w:sz="6" w:space="0" w:color="auto"/>
              <w:right w:val="single" w:sz="6" w:space="0" w:color="auto"/>
            </w:tcBorders>
          </w:tcPr>
          <w:p w14:paraId="12B9194A"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12.8</w:t>
            </w:r>
          </w:p>
        </w:tc>
        <w:tc>
          <w:tcPr>
            <w:tcW w:w="1049" w:type="dxa"/>
            <w:tcBorders>
              <w:top w:val="single" w:sz="6" w:space="0" w:color="auto"/>
              <w:left w:val="single" w:sz="6" w:space="0" w:color="auto"/>
              <w:bottom w:val="single" w:sz="6" w:space="0" w:color="auto"/>
              <w:right w:val="single" w:sz="6" w:space="0" w:color="auto"/>
            </w:tcBorders>
          </w:tcPr>
          <w:p w14:paraId="620BE7C0" w14:textId="29EE0024"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41,506</w:t>
            </w:r>
          </w:p>
        </w:tc>
        <w:tc>
          <w:tcPr>
            <w:tcW w:w="1049" w:type="dxa"/>
            <w:tcBorders>
              <w:top w:val="single" w:sz="6" w:space="0" w:color="auto"/>
              <w:left w:val="single" w:sz="6" w:space="0" w:color="auto"/>
              <w:bottom w:val="single" w:sz="6" w:space="0" w:color="auto"/>
              <w:right w:val="single" w:sz="6" w:space="0" w:color="auto"/>
            </w:tcBorders>
          </w:tcPr>
          <w:p w14:paraId="7DC68F9B"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14.3</w:t>
            </w:r>
          </w:p>
        </w:tc>
        <w:tc>
          <w:tcPr>
            <w:tcW w:w="1049" w:type="dxa"/>
            <w:tcBorders>
              <w:top w:val="single" w:sz="6" w:space="0" w:color="auto"/>
              <w:left w:val="single" w:sz="6" w:space="0" w:color="auto"/>
              <w:bottom w:val="single" w:sz="6" w:space="0" w:color="auto"/>
              <w:right w:val="single" w:sz="6" w:space="0" w:color="auto"/>
            </w:tcBorders>
          </w:tcPr>
          <w:p w14:paraId="45802BDD" w14:textId="2A888347"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45,226</w:t>
            </w:r>
          </w:p>
        </w:tc>
        <w:tc>
          <w:tcPr>
            <w:tcW w:w="1049" w:type="dxa"/>
            <w:tcBorders>
              <w:top w:val="single" w:sz="6" w:space="0" w:color="auto"/>
              <w:left w:val="single" w:sz="6" w:space="0" w:color="auto"/>
              <w:bottom w:val="single" w:sz="6" w:space="0" w:color="auto"/>
              <w:right w:val="single" w:sz="6" w:space="0" w:color="auto"/>
            </w:tcBorders>
          </w:tcPr>
          <w:p w14:paraId="611F8F2E"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15.0</w:t>
            </w:r>
          </w:p>
        </w:tc>
        <w:tc>
          <w:tcPr>
            <w:tcW w:w="1049" w:type="dxa"/>
            <w:tcBorders>
              <w:top w:val="single" w:sz="6" w:space="0" w:color="auto"/>
              <w:left w:val="single" w:sz="6" w:space="0" w:color="auto"/>
              <w:bottom w:val="single" w:sz="6" w:space="0" w:color="auto"/>
              <w:right w:val="single" w:sz="6" w:space="0" w:color="auto"/>
            </w:tcBorders>
          </w:tcPr>
          <w:p w14:paraId="12C4C602" w14:textId="123AE49B"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54,700</w:t>
            </w:r>
          </w:p>
        </w:tc>
        <w:tc>
          <w:tcPr>
            <w:tcW w:w="1049" w:type="dxa"/>
            <w:tcBorders>
              <w:top w:val="single" w:sz="6" w:space="0" w:color="auto"/>
              <w:left w:val="single" w:sz="6" w:space="0" w:color="auto"/>
              <w:bottom w:val="single" w:sz="6" w:space="0" w:color="auto"/>
              <w:right w:val="single" w:sz="6" w:space="0" w:color="auto"/>
            </w:tcBorders>
          </w:tcPr>
          <w:p w14:paraId="21ECFC97" w14:textId="77777777" w:rsidR="00FA0F29" w:rsidRPr="00392E0D" w:rsidRDefault="00FA0F29" w:rsidP="00FA0F29">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17.7</w:t>
            </w:r>
          </w:p>
        </w:tc>
        <w:tc>
          <w:tcPr>
            <w:tcW w:w="1049" w:type="dxa"/>
            <w:tcBorders>
              <w:top w:val="single" w:sz="6" w:space="0" w:color="auto"/>
              <w:left w:val="single" w:sz="6" w:space="0" w:color="auto"/>
              <w:bottom w:val="single" w:sz="6" w:space="0" w:color="auto"/>
              <w:right w:val="single" w:sz="6" w:space="0" w:color="auto"/>
            </w:tcBorders>
          </w:tcPr>
          <w:p w14:paraId="1BA2F9BC" w14:textId="225EA5CF" w:rsidR="00FA0F29" w:rsidRPr="00392E0D" w:rsidRDefault="00FA0F29" w:rsidP="00FA0F29">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56,894</w:t>
            </w:r>
          </w:p>
        </w:tc>
        <w:tc>
          <w:tcPr>
            <w:tcW w:w="1049" w:type="dxa"/>
            <w:tcBorders>
              <w:top w:val="single" w:sz="6" w:space="0" w:color="auto"/>
              <w:left w:val="single" w:sz="6" w:space="0" w:color="auto"/>
              <w:bottom w:val="single" w:sz="6" w:space="0" w:color="auto"/>
              <w:right w:val="single" w:sz="6" w:space="0" w:color="auto"/>
            </w:tcBorders>
          </w:tcPr>
          <w:p w14:paraId="565362B5" w14:textId="77777777" w:rsidR="00FA0F29" w:rsidRPr="00392E0D" w:rsidRDefault="00FA0F29" w:rsidP="00FA0F29">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18.7</w:t>
            </w:r>
          </w:p>
        </w:tc>
      </w:tr>
    </w:tbl>
    <w:p w14:paraId="647B9DC5" w14:textId="750B3AC0" w:rsidR="005579C0" w:rsidRPr="00392E0D" w:rsidRDefault="002502FE" w:rsidP="00E82912">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115</w:t>
      </w:r>
      <w:r w:rsidRPr="00392E0D">
        <w:rPr>
          <w:rFonts w:cs="Arial"/>
        </w:rPr>
        <w:fldChar w:fldCharType="end"/>
      </w:r>
      <w:r w:rsidRPr="00392E0D">
        <w:rPr>
          <w:rFonts w:cs="Arial"/>
        </w:rPr>
        <w:tab/>
      </w:r>
      <w:r w:rsidR="005579C0" w:rsidRPr="00392E0D">
        <w:rPr>
          <w:rFonts w:eastAsiaTheme="minorHAnsi" w:cs="Arial"/>
        </w:rPr>
        <w:t>Language diversity of children in the AEDC, by collection cycle</w:t>
      </w:r>
    </w:p>
    <w:tbl>
      <w:tblPr>
        <w:tblW w:w="0" w:type="auto"/>
        <w:tblInd w:w="-38" w:type="dxa"/>
        <w:tblLayout w:type="fixed"/>
        <w:tblLook w:val="0000" w:firstRow="0" w:lastRow="0" w:firstColumn="0" w:lastColumn="0" w:noHBand="0" w:noVBand="0"/>
      </w:tblPr>
      <w:tblGrid>
        <w:gridCol w:w="4425"/>
        <w:gridCol w:w="1048"/>
        <w:gridCol w:w="1049"/>
        <w:gridCol w:w="1049"/>
        <w:gridCol w:w="1049"/>
        <w:gridCol w:w="1049"/>
        <w:gridCol w:w="1049"/>
        <w:gridCol w:w="1049"/>
        <w:gridCol w:w="1049"/>
        <w:gridCol w:w="1049"/>
        <w:gridCol w:w="1049"/>
      </w:tblGrid>
      <w:tr w:rsidR="005579C0" w:rsidRPr="00392E0D" w14:paraId="4AB2D1A8" w14:textId="77777777" w:rsidTr="00653769">
        <w:trPr>
          <w:cantSplit/>
          <w:trHeight w:val="287"/>
          <w:tblHeader/>
        </w:trPr>
        <w:tc>
          <w:tcPr>
            <w:tcW w:w="4425" w:type="dxa"/>
            <w:tcBorders>
              <w:top w:val="single" w:sz="6" w:space="0" w:color="auto"/>
              <w:left w:val="single" w:sz="6" w:space="0" w:color="auto"/>
              <w:bottom w:val="single" w:sz="6" w:space="0" w:color="auto"/>
              <w:right w:val="single" w:sz="6" w:space="0" w:color="auto"/>
            </w:tcBorders>
            <w:vAlign w:val="bottom"/>
          </w:tcPr>
          <w:p w14:paraId="6D7F2077" w14:textId="77777777" w:rsidR="005579C0" w:rsidRPr="00392E0D" w:rsidRDefault="005579C0" w:rsidP="002502FE">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Category</w:t>
            </w:r>
          </w:p>
        </w:tc>
        <w:tc>
          <w:tcPr>
            <w:tcW w:w="1048" w:type="dxa"/>
            <w:tcBorders>
              <w:top w:val="single" w:sz="6" w:space="0" w:color="auto"/>
              <w:left w:val="single" w:sz="6" w:space="0" w:color="auto"/>
              <w:bottom w:val="single" w:sz="6" w:space="0" w:color="auto"/>
              <w:right w:val="single" w:sz="6" w:space="0" w:color="auto"/>
            </w:tcBorders>
            <w:vAlign w:val="bottom"/>
          </w:tcPr>
          <w:p w14:paraId="410D694B"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 (n)</w:t>
            </w:r>
          </w:p>
        </w:tc>
        <w:tc>
          <w:tcPr>
            <w:tcW w:w="1049" w:type="dxa"/>
            <w:tcBorders>
              <w:top w:val="single" w:sz="6" w:space="0" w:color="auto"/>
              <w:left w:val="single" w:sz="6" w:space="0" w:color="auto"/>
              <w:bottom w:val="single" w:sz="6" w:space="0" w:color="auto"/>
              <w:right w:val="single" w:sz="6" w:space="0" w:color="auto"/>
            </w:tcBorders>
            <w:vAlign w:val="bottom"/>
          </w:tcPr>
          <w:p w14:paraId="3A8D4A06"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 (%)</w:t>
            </w:r>
          </w:p>
        </w:tc>
        <w:tc>
          <w:tcPr>
            <w:tcW w:w="1049" w:type="dxa"/>
            <w:tcBorders>
              <w:top w:val="single" w:sz="6" w:space="0" w:color="auto"/>
              <w:left w:val="single" w:sz="6" w:space="0" w:color="auto"/>
              <w:bottom w:val="single" w:sz="6" w:space="0" w:color="auto"/>
              <w:right w:val="single" w:sz="6" w:space="0" w:color="auto"/>
            </w:tcBorders>
            <w:vAlign w:val="bottom"/>
          </w:tcPr>
          <w:p w14:paraId="595D919C"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 (n)</w:t>
            </w:r>
          </w:p>
        </w:tc>
        <w:tc>
          <w:tcPr>
            <w:tcW w:w="1049" w:type="dxa"/>
            <w:tcBorders>
              <w:top w:val="single" w:sz="6" w:space="0" w:color="auto"/>
              <w:left w:val="single" w:sz="6" w:space="0" w:color="auto"/>
              <w:bottom w:val="single" w:sz="6" w:space="0" w:color="auto"/>
              <w:right w:val="single" w:sz="6" w:space="0" w:color="auto"/>
            </w:tcBorders>
            <w:vAlign w:val="bottom"/>
          </w:tcPr>
          <w:p w14:paraId="75A7E7CF"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 (%)</w:t>
            </w:r>
          </w:p>
        </w:tc>
        <w:tc>
          <w:tcPr>
            <w:tcW w:w="1049" w:type="dxa"/>
            <w:tcBorders>
              <w:top w:val="single" w:sz="6" w:space="0" w:color="auto"/>
              <w:left w:val="single" w:sz="6" w:space="0" w:color="auto"/>
              <w:bottom w:val="single" w:sz="6" w:space="0" w:color="auto"/>
              <w:right w:val="single" w:sz="6" w:space="0" w:color="auto"/>
            </w:tcBorders>
            <w:vAlign w:val="bottom"/>
          </w:tcPr>
          <w:p w14:paraId="4574DDBF"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 (n)</w:t>
            </w:r>
          </w:p>
        </w:tc>
        <w:tc>
          <w:tcPr>
            <w:tcW w:w="1049" w:type="dxa"/>
            <w:tcBorders>
              <w:top w:val="single" w:sz="6" w:space="0" w:color="auto"/>
              <w:left w:val="single" w:sz="6" w:space="0" w:color="auto"/>
              <w:bottom w:val="single" w:sz="6" w:space="0" w:color="auto"/>
              <w:right w:val="single" w:sz="6" w:space="0" w:color="auto"/>
            </w:tcBorders>
            <w:vAlign w:val="bottom"/>
          </w:tcPr>
          <w:p w14:paraId="2F6BB171"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 (%)</w:t>
            </w:r>
          </w:p>
        </w:tc>
        <w:tc>
          <w:tcPr>
            <w:tcW w:w="1049" w:type="dxa"/>
            <w:tcBorders>
              <w:top w:val="single" w:sz="6" w:space="0" w:color="auto"/>
              <w:left w:val="single" w:sz="6" w:space="0" w:color="auto"/>
              <w:bottom w:val="single" w:sz="6" w:space="0" w:color="auto"/>
              <w:right w:val="single" w:sz="6" w:space="0" w:color="auto"/>
            </w:tcBorders>
            <w:vAlign w:val="bottom"/>
          </w:tcPr>
          <w:p w14:paraId="518319B6"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 (n)</w:t>
            </w:r>
          </w:p>
        </w:tc>
        <w:tc>
          <w:tcPr>
            <w:tcW w:w="1049" w:type="dxa"/>
            <w:tcBorders>
              <w:top w:val="single" w:sz="6" w:space="0" w:color="auto"/>
              <w:left w:val="single" w:sz="6" w:space="0" w:color="auto"/>
              <w:bottom w:val="single" w:sz="6" w:space="0" w:color="auto"/>
              <w:right w:val="single" w:sz="6" w:space="0" w:color="auto"/>
            </w:tcBorders>
            <w:vAlign w:val="bottom"/>
          </w:tcPr>
          <w:p w14:paraId="2D7E36E8"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 (%)</w:t>
            </w:r>
          </w:p>
        </w:tc>
        <w:tc>
          <w:tcPr>
            <w:tcW w:w="1049" w:type="dxa"/>
            <w:tcBorders>
              <w:top w:val="single" w:sz="6" w:space="0" w:color="auto"/>
              <w:left w:val="single" w:sz="6" w:space="0" w:color="auto"/>
              <w:bottom w:val="single" w:sz="6" w:space="0" w:color="auto"/>
              <w:right w:val="single" w:sz="6" w:space="0" w:color="auto"/>
            </w:tcBorders>
            <w:vAlign w:val="bottom"/>
          </w:tcPr>
          <w:p w14:paraId="5E0D2950"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 (n)</w:t>
            </w:r>
          </w:p>
        </w:tc>
        <w:tc>
          <w:tcPr>
            <w:tcW w:w="1049" w:type="dxa"/>
            <w:tcBorders>
              <w:top w:val="single" w:sz="6" w:space="0" w:color="auto"/>
              <w:left w:val="single" w:sz="6" w:space="0" w:color="auto"/>
              <w:bottom w:val="single" w:sz="6" w:space="0" w:color="auto"/>
              <w:right w:val="single" w:sz="6" w:space="0" w:color="auto"/>
            </w:tcBorders>
            <w:vAlign w:val="bottom"/>
          </w:tcPr>
          <w:p w14:paraId="39F6C365" w14:textId="77777777" w:rsidR="005579C0" w:rsidRPr="00392E0D" w:rsidRDefault="005579C0" w:rsidP="002502F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 (%)</w:t>
            </w:r>
          </w:p>
        </w:tc>
      </w:tr>
      <w:tr w:rsidR="005579C0" w:rsidRPr="00392E0D" w14:paraId="05A09F74"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4921FD50" w14:textId="11212E82" w:rsidR="005579C0" w:rsidRPr="00392E0D" w:rsidRDefault="005579C0" w:rsidP="005579C0">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r w:rsidRPr="00392E0D">
              <w:rPr>
                <w:rFonts w:ascii="Arial" w:eastAsiaTheme="minorHAnsi" w:hAnsi="Arial" w:cs="Arial"/>
                <w:color w:val="000000"/>
                <w:sz w:val="20"/>
                <w:szCs w:val="20"/>
                <w:lang w:val="en-AU"/>
              </w:rPr>
              <w:t xml:space="preserve"> – Total</w:t>
            </w:r>
            <w:r w:rsidR="0081002F" w:rsidRPr="00392E0D">
              <w:rPr>
                <w:rStyle w:val="FootnoteReference"/>
                <w:rFonts w:ascii="Arial" w:eastAsiaTheme="minorHAnsi" w:hAnsi="Arial" w:cs="Arial"/>
                <w:color w:val="000000"/>
                <w:sz w:val="20"/>
                <w:szCs w:val="20"/>
                <w:lang w:val="en-AU"/>
              </w:rPr>
              <w:footnoteReference w:id="8"/>
            </w:r>
          </w:p>
        </w:tc>
        <w:tc>
          <w:tcPr>
            <w:tcW w:w="1048" w:type="dxa"/>
            <w:tcBorders>
              <w:top w:val="single" w:sz="6" w:space="0" w:color="auto"/>
              <w:left w:val="single" w:sz="6" w:space="0" w:color="auto"/>
              <w:bottom w:val="single" w:sz="6" w:space="0" w:color="auto"/>
              <w:right w:val="single" w:sz="6" w:space="0" w:color="auto"/>
            </w:tcBorders>
          </w:tcPr>
          <w:p w14:paraId="37FFB364"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46,967</w:t>
            </w:r>
          </w:p>
        </w:tc>
        <w:tc>
          <w:tcPr>
            <w:tcW w:w="1049" w:type="dxa"/>
            <w:tcBorders>
              <w:top w:val="single" w:sz="6" w:space="0" w:color="auto"/>
              <w:left w:val="single" w:sz="6" w:space="0" w:color="auto"/>
              <w:bottom w:val="single" w:sz="6" w:space="0" w:color="auto"/>
              <w:right w:val="single" w:sz="6" w:space="0" w:color="auto"/>
            </w:tcBorders>
          </w:tcPr>
          <w:p w14:paraId="6791C82F"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18.0</w:t>
            </w:r>
          </w:p>
        </w:tc>
        <w:tc>
          <w:tcPr>
            <w:tcW w:w="1049" w:type="dxa"/>
            <w:tcBorders>
              <w:top w:val="single" w:sz="6" w:space="0" w:color="auto"/>
              <w:left w:val="single" w:sz="6" w:space="0" w:color="auto"/>
              <w:bottom w:val="single" w:sz="6" w:space="0" w:color="auto"/>
              <w:right w:val="single" w:sz="6" w:space="0" w:color="auto"/>
            </w:tcBorders>
          </w:tcPr>
          <w:p w14:paraId="5EB9B081"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55,489</w:t>
            </w:r>
          </w:p>
        </w:tc>
        <w:tc>
          <w:tcPr>
            <w:tcW w:w="1049" w:type="dxa"/>
            <w:tcBorders>
              <w:top w:val="single" w:sz="6" w:space="0" w:color="auto"/>
              <w:left w:val="single" w:sz="6" w:space="0" w:color="auto"/>
              <w:bottom w:val="single" w:sz="6" w:space="0" w:color="auto"/>
              <w:right w:val="single" w:sz="6" w:space="0" w:color="auto"/>
            </w:tcBorders>
          </w:tcPr>
          <w:p w14:paraId="14B52141"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19.1</w:t>
            </w:r>
          </w:p>
        </w:tc>
        <w:tc>
          <w:tcPr>
            <w:tcW w:w="1049" w:type="dxa"/>
            <w:tcBorders>
              <w:top w:val="single" w:sz="6" w:space="0" w:color="auto"/>
              <w:left w:val="single" w:sz="6" w:space="0" w:color="auto"/>
              <w:bottom w:val="single" w:sz="6" w:space="0" w:color="auto"/>
              <w:right w:val="single" w:sz="6" w:space="0" w:color="auto"/>
            </w:tcBorders>
          </w:tcPr>
          <w:p w14:paraId="03C96CAB"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64,881</w:t>
            </w:r>
          </w:p>
        </w:tc>
        <w:tc>
          <w:tcPr>
            <w:tcW w:w="1049" w:type="dxa"/>
            <w:tcBorders>
              <w:top w:val="single" w:sz="6" w:space="0" w:color="auto"/>
              <w:left w:val="single" w:sz="6" w:space="0" w:color="auto"/>
              <w:bottom w:val="single" w:sz="6" w:space="0" w:color="auto"/>
              <w:right w:val="single" w:sz="6" w:space="0" w:color="auto"/>
            </w:tcBorders>
          </w:tcPr>
          <w:p w14:paraId="615A9C7C"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21.5</w:t>
            </w:r>
          </w:p>
        </w:tc>
        <w:tc>
          <w:tcPr>
            <w:tcW w:w="1049" w:type="dxa"/>
            <w:tcBorders>
              <w:top w:val="single" w:sz="6" w:space="0" w:color="auto"/>
              <w:left w:val="single" w:sz="6" w:space="0" w:color="auto"/>
              <w:bottom w:val="single" w:sz="6" w:space="0" w:color="auto"/>
              <w:right w:val="single" w:sz="6" w:space="0" w:color="auto"/>
            </w:tcBorders>
          </w:tcPr>
          <w:p w14:paraId="6C321C02"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78,298</w:t>
            </w:r>
          </w:p>
        </w:tc>
        <w:tc>
          <w:tcPr>
            <w:tcW w:w="1049" w:type="dxa"/>
            <w:tcBorders>
              <w:top w:val="single" w:sz="6" w:space="0" w:color="auto"/>
              <w:left w:val="single" w:sz="6" w:space="0" w:color="auto"/>
              <w:bottom w:val="single" w:sz="6" w:space="0" w:color="auto"/>
              <w:right w:val="single" w:sz="6" w:space="0" w:color="auto"/>
            </w:tcBorders>
          </w:tcPr>
          <w:p w14:paraId="59696632"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25.3</w:t>
            </w:r>
          </w:p>
        </w:tc>
        <w:tc>
          <w:tcPr>
            <w:tcW w:w="1049" w:type="dxa"/>
            <w:tcBorders>
              <w:top w:val="single" w:sz="6" w:space="0" w:color="auto"/>
              <w:left w:val="single" w:sz="6" w:space="0" w:color="auto"/>
              <w:bottom w:val="single" w:sz="6" w:space="0" w:color="auto"/>
              <w:right w:val="single" w:sz="6" w:space="0" w:color="auto"/>
            </w:tcBorders>
          </w:tcPr>
          <w:p w14:paraId="3B82748A"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81,885</w:t>
            </w:r>
          </w:p>
        </w:tc>
        <w:tc>
          <w:tcPr>
            <w:tcW w:w="1049" w:type="dxa"/>
            <w:tcBorders>
              <w:top w:val="single" w:sz="6" w:space="0" w:color="auto"/>
              <w:left w:val="single" w:sz="6" w:space="0" w:color="auto"/>
              <w:bottom w:val="single" w:sz="6" w:space="0" w:color="auto"/>
              <w:right w:val="single" w:sz="6" w:space="0" w:color="auto"/>
            </w:tcBorders>
          </w:tcPr>
          <w:p w14:paraId="16BDACF3" w14:textId="77777777" w:rsidR="005579C0" w:rsidRPr="00392E0D" w:rsidRDefault="005579C0" w:rsidP="005579C0">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26.8</w:t>
            </w:r>
          </w:p>
        </w:tc>
      </w:tr>
      <w:tr w:rsidR="005579C0" w:rsidRPr="00392E0D" w14:paraId="1FD54FFD"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7E11C8F4" w14:textId="77777777" w:rsidR="005579C0" w:rsidRPr="00392E0D" w:rsidRDefault="005579C0" w:rsidP="005579C0">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r w:rsidRPr="00392E0D">
              <w:rPr>
                <w:rFonts w:ascii="Arial" w:eastAsiaTheme="minorHAnsi" w:hAnsi="Arial" w:cs="Arial"/>
                <w:color w:val="000000"/>
                <w:sz w:val="20"/>
                <w:szCs w:val="20"/>
                <w:lang w:val="en-AU"/>
              </w:rPr>
              <w:t xml:space="preserve"> – Not proficient in English</w:t>
            </w:r>
          </w:p>
        </w:tc>
        <w:tc>
          <w:tcPr>
            <w:tcW w:w="1048" w:type="dxa"/>
            <w:tcBorders>
              <w:top w:val="single" w:sz="6" w:space="0" w:color="auto"/>
              <w:left w:val="single" w:sz="6" w:space="0" w:color="auto"/>
              <w:bottom w:val="single" w:sz="6" w:space="0" w:color="auto"/>
              <w:right w:val="single" w:sz="6" w:space="0" w:color="auto"/>
            </w:tcBorders>
          </w:tcPr>
          <w:p w14:paraId="0B57321A"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7,596</w:t>
            </w:r>
          </w:p>
        </w:tc>
        <w:tc>
          <w:tcPr>
            <w:tcW w:w="1049" w:type="dxa"/>
            <w:tcBorders>
              <w:top w:val="single" w:sz="6" w:space="0" w:color="auto"/>
              <w:left w:val="single" w:sz="6" w:space="0" w:color="auto"/>
              <w:bottom w:val="single" w:sz="6" w:space="0" w:color="auto"/>
              <w:right w:val="single" w:sz="6" w:space="0" w:color="auto"/>
            </w:tcBorders>
          </w:tcPr>
          <w:p w14:paraId="2B29D3DB"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w:t>
            </w:r>
          </w:p>
        </w:tc>
        <w:tc>
          <w:tcPr>
            <w:tcW w:w="1049" w:type="dxa"/>
            <w:tcBorders>
              <w:top w:val="single" w:sz="6" w:space="0" w:color="auto"/>
              <w:left w:val="single" w:sz="6" w:space="0" w:color="auto"/>
              <w:bottom w:val="single" w:sz="6" w:space="0" w:color="auto"/>
              <w:right w:val="single" w:sz="6" w:space="0" w:color="auto"/>
            </w:tcBorders>
          </w:tcPr>
          <w:p w14:paraId="7EB14C2D"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7,893</w:t>
            </w:r>
          </w:p>
        </w:tc>
        <w:tc>
          <w:tcPr>
            <w:tcW w:w="1049" w:type="dxa"/>
            <w:tcBorders>
              <w:top w:val="single" w:sz="6" w:space="0" w:color="auto"/>
              <w:left w:val="single" w:sz="6" w:space="0" w:color="auto"/>
              <w:bottom w:val="single" w:sz="6" w:space="0" w:color="auto"/>
              <w:right w:val="single" w:sz="6" w:space="0" w:color="auto"/>
            </w:tcBorders>
          </w:tcPr>
          <w:p w14:paraId="72C44F75"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w:t>
            </w:r>
          </w:p>
        </w:tc>
        <w:tc>
          <w:tcPr>
            <w:tcW w:w="1049" w:type="dxa"/>
            <w:tcBorders>
              <w:top w:val="single" w:sz="6" w:space="0" w:color="auto"/>
              <w:left w:val="single" w:sz="6" w:space="0" w:color="auto"/>
              <w:bottom w:val="single" w:sz="6" w:space="0" w:color="auto"/>
              <w:right w:val="single" w:sz="6" w:space="0" w:color="auto"/>
            </w:tcBorders>
          </w:tcPr>
          <w:p w14:paraId="7029381B"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8,252</w:t>
            </w:r>
          </w:p>
        </w:tc>
        <w:tc>
          <w:tcPr>
            <w:tcW w:w="1049" w:type="dxa"/>
            <w:tcBorders>
              <w:top w:val="single" w:sz="6" w:space="0" w:color="auto"/>
              <w:left w:val="single" w:sz="6" w:space="0" w:color="auto"/>
              <w:bottom w:val="single" w:sz="6" w:space="0" w:color="auto"/>
              <w:right w:val="single" w:sz="6" w:space="0" w:color="auto"/>
            </w:tcBorders>
          </w:tcPr>
          <w:p w14:paraId="785A66B5"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w:t>
            </w:r>
          </w:p>
        </w:tc>
        <w:tc>
          <w:tcPr>
            <w:tcW w:w="1049" w:type="dxa"/>
            <w:tcBorders>
              <w:top w:val="single" w:sz="6" w:space="0" w:color="auto"/>
              <w:left w:val="single" w:sz="6" w:space="0" w:color="auto"/>
              <w:bottom w:val="single" w:sz="6" w:space="0" w:color="auto"/>
              <w:right w:val="single" w:sz="6" w:space="0" w:color="auto"/>
            </w:tcBorders>
          </w:tcPr>
          <w:p w14:paraId="3F23142E"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8,766</w:t>
            </w:r>
          </w:p>
        </w:tc>
        <w:tc>
          <w:tcPr>
            <w:tcW w:w="1049" w:type="dxa"/>
            <w:tcBorders>
              <w:top w:val="single" w:sz="6" w:space="0" w:color="auto"/>
              <w:left w:val="single" w:sz="6" w:space="0" w:color="auto"/>
              <w:bottom w:val="single" w:sz="6" w:space="0" w:color="auto"/>
              <w:right w:val="single" w:sz="6" w:space="0" w:color="auto"/>
            </w:tcBorders>
          </w:tcPr>
          <w:p w14:paraId="3FCA0E3D"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w:t>
            </w:r>
          </w:p>
        </w:tc>
        <w:tc>
          <w:tcPr>
            <w:tcW w:w="1049" w:type="dxa"/>
            <w:tcBorders>
              <w:top w:val="single" w:sz="6" w:space="0" w:color="auto"/>
              <w:left w:val="single" w:sz="6" w:space="0" w:color="auto"/>
              <w:bottom w:val="single" w:sz="6" w:space="0" w:color="auto"/>
              <w:right w:val="single" w:sz="6" w:space="0" w:color="auto"/>
            </w:tcBorders>
          </w:tcPr>
          <w:p w14:paraId="459118B8"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9,410</w:t>
            </w:r>
          </w:p>
        </w:tc>
        <w:tc>
          <w:tcPr>
            <w:tcW w:w="1049" w:type="dxa"/>
            <w:tcBorders>
              <w:top w:val="single" w:sz="6" w:space="0" w:color="auto"/>
              <w:left w:val="single" w:sz="6" w:space="0" w:color="auto"/>
              <w:bottom w:val="single" w:sz="6" w:space="0" w:color="auto"/>
              <w:right w:val="single" w:sz="6" w:space="0" w:color="auto"/>
            </w:tcBorders>
          </w:tcPr>
          <w:p w14:paraId="6A6E2D86" w14:textId="77777777" w:rsidR="005579C0" w:rsidRPr="00392E0D" w:rsidRDefault="005579C0" w:rsidP="005579C0">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3.1</w:t>
            </w:r>
          </w:p>
        </w:tc>
      </w:tr>
      <w:tr w:rsidR="005579C0" w:rsidRPr="00392E0D" w14:paraId="2105522A"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556A5C60" w14:textId="77777777" w:rsidR="005579C0" w:rsidRPr="00392E0D" w:rsidRDefault="005579C0" w:rsidP="005579C0">
            <w:pPr>
              <w:widowControl/>
              <w:adjustRightInd w:val="0"/>
              <w:spacing w:before="60" w:after="60"/>
              <w:rPr>
                <w:rFonts w:ascii="Arial" w:eastAsiaTheme="minorHAnsi" w:hAnsi="Arial" w:cs="Arial"/>
                <w:color w:val="000000"/>
                <w:sz w:val="20"/>
                <w:szCs w:val="20"/>
                <w:lang w:val="en-AU"/>
              </w:rPr>
            </w:pPr>
            <w:proofErr w:type="spellStart"/>
            <w:r w:rsidRPr="00392E0D">
              <w:rPr>
                <w:rFonts w:ascii="Arial" w:eastAsiaTheme="minorHAnsi" w:hAnsi="Arial" w:cs="Arial"/>
                <w:color w:val="000000"/>
                <w:sz w:val="20"/>
                <w:szCs w:val="20"/>
                <w:lang w:val="en-AU"/>
              </w:rPr>
              <w:t>LBOTE</w:t>
            </w:r>
            <w:proofErr w:type="spellEnd"/>
            <w:r w:rsidRPr="00392E0D">
              <w:rPr>
                <w:rFonts w:ascii="Arial" w:eastAsiaTheme="minorHAnsi" w:hAnsi="Arial" w:cs="Arial"/>
                <w:color w:val="000000"/>
                <w:sz w:val="20"/>
                <w:szCs w:val="20"/>
                <w:lang w:val="en-AU"/>
              </w:rPr>
              <w:t xml:space="preserve"> – Proficient in English</w:t>
            </w:r>
          </w:p>
        </w:tc>
        <w:tc>
          <w:tcPr>
            <w:tcW w:w="1048" w:type="dxa"/>
            <w:tcBorders>
              <w:top w:val="single" w:sz="6" w:space="0" w:color="auto"/>
              <w:left w:val="single" w:sz="6" w:space="0" w:color="auto"/>
              <w:bottom w:val="single" w:sz="6" w:space="0" w:color="auto"/>
              <w:right w:val="single" w:sz="6" w:space="0" w:color="auto"/>
            </w:tcBorders>
          </w:tcPr>
          <w:p w14:paraId="6C66A2F1"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38,513</w:t>
            </w:r>
          </w:p>
        </w:tc>
        <w:tc>
          <w:tcPr>
            <w:tcW w:w="1049" w:type="dxa"/>
            <w:tcBorders>
              <w:top w:val="single" w:sz="6" w:space="0" w:color="auto"/>
              <w:left w:val="single" w:sz="6" w:space="0" w:color="auto"/>
              <w:bottom w:val="single" w:sz="6" w:space="0" w:color="auto"/>
              <w:right w:val="single" w:sz="6" w:space="0" w:color="auto"/>
            </w:tcBorders>
          </w:tcPr>
          <w:p w14:paraId="3885F01C"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14.9</w:t>
            </w:r>
          </w:p>
        </w:tc>
        <w:tc>
          <w:tcPr>
            <w:tcW w:w="1049" w:type="dxa"/>
            <w:tcBorders>
              <w:top w:val="single" w:sz="6" w:space="0" w:color="auto"/>
              <w:left w:val="single" w:sz="6" w:space="0" w:color="auto"/>
              <w:bottom w:val="single" w:sz="6" w:space="0" w:color="auto"/>
              <w:right w:val="single" w:sz="6" w:space="0" w:color="auto"/>
            </w:tcBorders>
          </w:tcPr>
          <w:p w14:paraId="0559460E"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46,880</w:t>
            </w:r>
          </w:p>
        </w:tc>
        <w:tc>
          <w:tcPr>
            <w:tcW w:w="1049" w:type="dxa"/>
            <w:tcBorders>
              <w:top w:val="single" w:sz="6" w:space="0" w:color="auto"/>
              <w:left w:val="single" w:sz="6" w:space="0" w:color="auto"/>
              <w:bottom w:val="single" w:sz="6" w:space="0" w:color="auto"/>
              <w:right w:val="single" w:sz="6" w:space="0" w:color="auto"/>
            </w:tcBorders>
          </w:tcPr>
          <w:p w14:paraId="4CE13F6E"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16.3</w:t>
            </w:r>
          </w:p>
        </w:tc>
        <w:tc>
          <w:tcPr>
            <w:tcW w:w="1049" w:type="dxa"/>
            <w:tcBorders>
              <w:top w:val="single" w:sz="6" w:space="0" w:color="auto"/>
              <w:left w:val="single" w:sz="6" w:space="0" w:color="auto"/>
              <w:bottom w:val="single" w:sz="6" w:space="0" w:color="auto"/>
              <w:right w:val="single" w:sz="6" w:space="0" w:color="auto"/>
            </w:tcBorders>
          </w:tcPr>
          <w:p w14:paraId="784B4F93"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56,127</w:t>
            </w:r>
          </w:p>
        </w:tc>
        <w:tc>
          <w:tcPr>
            <w:tcW w:w="1049" w:type="dxa"/>
            <w:tcBorders>
              <w:top w:val="single" w:sz="6" w:space="0" w:color="auto"/>
              <w:left w:val="single" w:sz="6" w:space="0" w:color="auto"/>
              <w:bottom w:val="single" w:sz="6" w:space="0" w:color="auto"/>
              <w:right w:val="single" w:sz="6" w:space="0" w:color="auto"/>
            </w:tcBorders>
          </w:tcPr>
          <w:p w14:paraId="7C38BAD3"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18.7</w:t>
            </w:r>
          </w:p>
        </w:tc>
        <w:tc>
          <w:tcPr>
            <w:tcW w:w="1049" w:type="dxa"/>
            <w:tcBorders>
              <w:top w:val="single" w:sz="6" w:space="0" w:color="auto"/>
              <w:left w:val="single" w:sz="6" w:space="0" w:color="auto"/>
              <w:bottom w:val="single" w:sz="6" w:space="0" w:color="auto"/>
              <w:right w:val="single" w:sz="6" w:space="0" w:color="auto"/>
            </w:tcBorders>
          </w:tcPr>
          <w:p w14:paraId="27643DBF"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68,885</w:t>
            </w:r>
          </w:p>
        </w:tc>
        <w:tc>
          <w:tcPr>
            <w:tcW w:w="1049" w:type="dxa"/>
            <w:tcBorders>
              <w:top w:val="single" w:sz="6" w:space="0" w:color="auto"/>
              <w:left w:val="single" w:sz="6" w:space="0" w:color="auto"/>
              <w:bottom w:val="single" w:sz="6" w:space="0" w:color="auto"/>
              <w:right w:val="single" w:sz="6" w:space="0" w:color="auto"/>
            </w:tcBorders>
          </w:tcPr>
          <w:p w14:paraId="4BA17D10"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22.4</w:t>
            </w:r>
          </w:p>
        </w:tc>
        <w:tc>
          <w:tcPr>
            <w:tcW w:w="1049" w:type="dxa"/>
            <w:tcBorders>
              <w:top w:val="single" w:sz="6" w:space="0" w:color="auto"/>
              <w:left w:val="single" w:sz="6" w:space="0" w:color="auto"/>
              <w:bottom w:val="single" w:sz="6" w:space="0" w:color="auto"/>
              <w:right w:val="single" w:sz="6" w:space="0" w:color="auto"/>
            </w:tcBorders>
          </w:tcPr>
          <w:p w14:paraId="0D479CE4"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71,882</w:t>
            </w:r>
          </w:p>
        </w:tc>
        <w:tc>
          <w:tcPr>
            <w:tcW w:w="1049" w:type="dxa"/>
            <w:tcBorders>
              <w:top w:val="single" w:sz="6" w:space="0" w:color="auto"/>
              <w:left w:val="single" w:sz="6" w:space="0" w:color="auto"/>
              <w:bottom w:val="single" w:sz="6" w:space="0" w:color="auto"/>
              <w:right w:val="single" w:sz="6" w:space="0" w:color="auto"/>
            </w:tcBorders>
          </w:tcPr>
          <w:p w14:paraId="0F5A94A6" w14:textId="77777777" w:rsidR="005579C0" w:rsidRPr="00392E0D" w:rsidRDefault="005579C0" w:rsidP="005579C0">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23.7</w:t>
            </w:r>
          </w:p>
        </w:tc>
      </w:tr>
      <w:tr w:rsidR="005579C0" w:rsidRPr="00392E0D" w14:paraId="76DEB92C"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642DCF07" w14:textId="55F26F6F" w:rsidR="005579C0" w:rsidRPr="00392E0D" w:rsidRDefault="005579C0" w:rsidP="005579C0">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 – Total</w:t>
            </w:r>
            <w:r w:rsidR="0081002F" w:rsidRPr="00392E0D">
              <w:rPr>
                <w:rStyle w:val="FootnoteReference"/>
                <w:rFonts w:ascii="Arial" w:eastAsiaTheme="minorHAnsi" w:hAnsi="Arial" w:cs="Arial"/>
                <w:color w:val="000000"/>
                <w:sz w:val="20"/>
                <w:szCs w:val="20"/>
                <w:lang w:val="en-AU"/>
              </w:rPr>
              <w:footnoteReference w:id="9"/>
            </w:r>
          </w:p>
        </w:tc>
        <w:tc>
          <w:tcPr>
            <w:tcW w:w="1048" w:type="dxa"/>
            <w:tcBorders>
              <w:top w:val="single" w:sz="6" w:space="0" w:color="auto"/>
              <w:left w:val="single" w:sz="6" w:space="0" w:color="auto"/>
              <w:bottom w:val="single" w:sz="6" w:space="0" w:color="auto"/>
              <w:right w:val="single" w:sz="6" w:space="0" w:color="auto"/>
            </w:tcBorders>
          </w:tcPr>
          <w:p w14:paraId="4C6C1B1B"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214,180</w:t>
            </w:r>
          </w:p>
        </w:tc>
        <w:tc>
          <w:tcPr>
            <w:tcW w:w="1049" w:type="dxa"/>
            <w:tcBorders>
              <w:top w:val="single" w:sz="6" w:space="0" w:color="auto"/>
              <w:left w:val="single" w:sz="6" w:space="0" w:color="auto"/>
              <w:bottom w:val="single" w:sz="6" w:space="0" w:color="auto"/>
              <w:right w:val="single" w:sz="6" w:space="0" w:color="auto"/>
            </w:tcBorders>
          </w:tcPr>
          <w:p w14:paraId="6A58B34C"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82.0</w:t>
            </w:r>
          </w:p>
        </w:tc>
        <w:tc>
          <w:tcPr>
            <w:tcW w:w="1049" w:type="dxa"/>
            <w:tcBorders>
              <w:top w:val="single" w:sz="6" w:space="0" w:color="auto"/>
              <w:left w:val="single" w:sz="6" w:space="0" w:color="auto"/>
              <w:bottom w:val="single" w:sz="6" w:space="0" w:color="auto"/>
              <w:right w:val="single" w:sz="6" w:space="0" w:color="auto"/>
            </w:tcBorders>
          </w:tcPr>
          <w:p w14:paraId="67E3584D"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234,484</w:t>
            </w:r>
          </w:p>
        </w:tc>
        <w:tc>
          <w:tcPr>
            <w:tcW w:w="1049" w:type="dxa"/>
            <w:tcBorders>
              <w:top w:val="single" w:sz="6" w:space="0" w:color="auto"/>
              <w:left w:val="single" w:sz="6" w:space="0" w:color="auto"/>
              <w:bottom w:val="single" w:sz="6" w:space="0" w:color="auto"/>
              <w:right w:val="single" w:sz="6" w:space="0" w:color="auto"/>
            </w:tcBorders>
          </w:tcPr>
          <w:p w14:paraId="17BF7F2E"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80.9</w:t>
            </w:r>
          </w:p>
        </w:tc>
        <w:tc>
          <w:tcPr>
            <w:tcW w:w="1049" w:type="dxa"/>
            <w:tcBorders>
              <w:top w:val="single" w:sz="6" w:space="0" w:color="auto"/>
              <w:left w:val="single" w:sz="6" w:space="0" w:color="auto"/>
              <w:bottom w:val="single" w:sz="6" w:space="0" w:color="auto"/>
              <w:right w:val="single" w:sz="6" w:space="0" w:color="auto"/>
            </w:tcBorders>
          </w:tcPr>
          <w:p w14:paraId="287ECF32"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237,122</w:t>
            </w:r>
          </w:p>
        </w:tc>
        <w:tc>
          <w:tcPr>
            <w:tcW w:w="1049" w:type="dxa"/>
            <w:tcBorders>
              <w:top w:val="single" w:sz="6" w:space="0" w:color="auto"/>
              <w:left w:val="single" w:sz="6" w:space="0" w:color="auto"/>
              <w:bottom w:val="single" w:sz="6" w:space="0" w:color="auto"/>
              <w:right w:val="single" w:sz="6" w:space="0" w:color="auto"/>
            </w:tcBorders>
          </w:tcPr>
          <w:p w14:paraId="23DF6F95"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78.5</w:t>
            </w:r>
          </w:p>
        </w:tc>
        <w:tc>
          <w:tcPr>
            <w:tcW w:w="1049" w:type="dxa"/>
            <w:tcBorders>
              <w:top w:val="single" w:sz="6" w:space="0" w:color="auto"/>
              <w:left w:val="single" w:sz="6" w:space="0" w:color="auto"/>
              <w:bottom w:val="single" w:sz="6" w:space="0" w:color="auto"/>
              <w:right w:val="single" w:sz="6" w:space="0" w:color="auto"/>
            </w:tcBorders>
          </w:tcPr>
          <w:p w14:paraId="4DC8665E"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230,655</w:t>
            </w:r>
          </w:p>
        </w:tc>
        <w:tc>
          <w:tcPr>
            <w:tcW w:w="1049" w:type="dxa"/>
            <w:tcBorders>
              <w:top w:val="single" w:sz="6" w:space="0" w:color="auto"/>
              <w:left w:val="single" w:sz="6" w:space="0" w:color="auto"/>
              <w:bottom w:val="single" w:sz="6" w:space="0" w:color="auto"/>
              <w:right w:val="single" w:sz="6" w:space="0" w:color="auto"/>
            </w:tcBorders>
          </w:tcPr>
          <w:p w14:paraId="1C0C09AE"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74.7</w:t>
            </w:r>
          </w:p>
        </w:tc>
        <w:tc>
          <w:tcPr>
            <w:tcW w:w="1049" w:type="dxa"/>
            <w:tcBorders>
              <w:top w:val="single" w:sz="6" w:space="0" w:color="auto"/>
              <w:left w:val="single" w:sz="6" w:space="0" w:color="auto"/>
              <w:bottom w:val="single" w:sz="6" w:space="0" w:color="auto"/>
              <w:right w:val="single" w:sz="6" w:space="0" w:color="auto"/>
            </w:tcBorders>
          </w:tcPr>
          <w:p w14:paraId="14DC1069"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223,130</w:t>
            </w:r>
          </w:p>
        </w:tc>
        <w:tc>
          <w:tcPr>
            <w:tcW w:w="1049" w:type="dxa"/>
            <w:tcBorders>
              <w:top w:val="single" w:sz="6" w:space="0" w:color="auto"/>
              <w:left w:val="single" w:sz="6" w:space="0" w:color="auto"/>
              <w:bottom w:val="single" w:sz="6" w:space="0" w:color="auto"/>
              <w:right w:val="single" w:sz="6" w:space="0" w:color="auto"/>
            </w:tcBorders>
          </w:tcPr>
          <w:p w14:paraId="596E4876" w14:textId="77777777" w:rsidR="005579C0" w:rsidRPr="00392E0D" w:rsidRDefault="005579C0" w:rsidP="005579C0">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73.2</w:t>
            </w:r>
          </w:p>
        </w:tc>
      </w:tr>
      <w:tr w:rsidR="005579C0" w:rsidRPr="00392E0D" w14:paraId="4FCBD786"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5972B2D0" w14:textId="77777777" w:rsidR="005579C0" w:rsidRPr="00392E0D" w:rsidRDefault="005579C0" w:rsidP="005579C0">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 – Not proficient in English</w:t>
            </w:r>
          </w:p>
        </w:tc>
        <w:tc>
          <w:tcPr>
            <w:tcW w:w="1048" w:type="dxa"/>
            <w:tcBorders>
              <w:top w:val="single" w:sz="6" w:space="0" w:color="auto"/>
              <w:left w:val="single" w:sz="6" w:space="0" w:color="auto"/>
              <w:bottom w:val="single" w:sz="6" w:space="0" w:color="auto"/>
              <w:right w:val="single" w:sz="6" w:space="0" w:color="auto"/>
            </w:tcBorders>
          </w:tcPr>
          <w:p w14:paraId="2042A9B6"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10,489</w:t>
            </w:r>
          </w:p>
        </w:tc>
        <w:tc>
          <w:tcPr>
            <w:tcW w:w="1049" w:type="dxa"/>
            <w:tcBorders>
              <w:top w:val="single" w:sz="6" w:space="0" w:color="auto"/>
              <w:left w:val="single" w:sz="6" w:space="0" w:color="auto"/>
              <w:bottom w:val="single" w:sz="6" w:space="0" w:color="auto"/>
              <w:right w:val="single" w:sz="6" w:space="0" w:color="auto"/>
            </w:tcBorders>
          </w:tcPr>
          <w:p w14:paraId="38755DEB"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4.1</w:t>
            </w:r>
          </w:p>
        </w:tc>
        <w:tc>
          <w:tcPr>
            <w:tcW w:w="1049" w:type="dxa"/>
            <w:tcBorders>
              <w:top w:val="single" w:sz="6" w:space="0" w:color="auto"/>
              <w:left w:val="single" w:sz="6" w:space="0" w:color="auto"/>
              <w:bottom w:val="single" w:sz="6" w:space="0" w:color="auto"/>
              <w:right w:val="single" w:sz="6" w:space="0" w:color="auto"/>
            </w:tcBorders>
          </w:tcPr>
          <w:p w14:paraId="09A0E00F"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11,031</w:t>
            </w:r>
          </w:p>
        </w:tc>
        <w:tc>
          <w:tcPr>
            <w:tcW w:w="1049" w:type="dxa"/>
            <w:tcBorders>
              <w:top w:val="single" w:sz="6" w:space="0" w:color="auto"/>
              <w:left w:val="single" w:sz="6" w:space="0" w:color="auto"/>
              <w:bottom w:val="single" w:sz="6" w:space="0" w:color="auto"/>
              <w:right w:val="single" w:sz="6" w:space="0" w:color="auto"/>
            </w:tcBorders>
          </w:tcPr>
          <w:p w14:paraId="7BC05133"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3.8</w:t>
            </w:r>
          </w:p>
        </w:tc>
        <w:tc>
          <w:tcPr>
            <w:tcW w:w="1049" w:type="dxa"/>
            <w:tcBorders>
              <w:top w:val="single" w:sz="6" w:space="0" w:color="auto"/>
              <w:left w:val="single" w:sz="6" w:space="0" w:color="auto"/>
              <w:bottom w:val="single" w:sz="6" w:space="0" w:color="auto"/>
              <w:right w:val="single" w:sz="6" w:space="0" w:color="auto"/>
            </w:tcBorders>
          </w:tcPr>
          <w:p w14:paraId="1BF802BF"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10,920</w:t>
            </w:r>
          </w:p>
        </w:tc>
        <w:tc>
          <w:tcPr>
            <w:tcW w:w="1049" w:type="dxa"/>
            <w:tcBorders>
              <w:top w:val="single" w:sz="6" w:space="0" w:color="auto"/>
              <w:left w:val="single" w:sz="6" w:space="0" w:color="auto"/>
              <w:bottom w:val="single" w:sz="6" w:space="0" w:color="auto"/>
              <w:right w:val="single" w:sz="6" w:space="0" w:color="auto"/>
            </w:tcBorders>
          </w:tcPr>
          <w:p w14:paraId="148E1E8C"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3.6</w:t>
            </w:r>
          </w:p>
        </w:tc>
        <w:tc>
          <w:tcPr>
            <w:tcW w:w="1049" w:type="dxa"/>
            <w:tcBorders>
              <w:top w:val="single" w:sz="6" w:space="0" w:color="auto"/>
              <w:left w:val="single" w:sz="6" w:space="0" w:color="auto"/>
              <w:bottom w:val="single" w:sz="6" w:space="0" w:color="auto"/>
              <w:right w:val="single" w:sz="6" w:space="0" w:color="auto"/>
            </w:tcBorders>
          </w:tcPr>
          <w:p w14:paraId="2B36AD70"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9,145</w:t>
            </w:r>
          </w:p>
        </w:tc>
        <w:tc>
          <w:tcPr>
            <w:tcW w:w="1049" w:type="dxa"/>
            <w:tcBorders>
              <w:top w:val="single" w:sz="6" w:space="0" w:color="auto"/>
              <w:left w:val="single" w:sz="6" w:space="0" w:color="auto"/>
              <w:bottom w:val="single" w:sz="6" w:space="0" w:color="auto"/>
              <w:right w:val="single" w:sz="6" w:space="0" w:color="auto"/>
            </w:tcBorders>
          </w:tcPr>
          <w:p w14:paraId="6BA86D96"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3.0</w:t>
            </w:r>
          </w:p>
        </w:tc>
        <w:tc>
          <w:tcPr>
            <w:tcW w:w="1049" w:type="dxa"/>
            <w:tcBorders>
              <w:top w:val="single" w:sz="6" w:space="0" w:color="auto"/>
              <w:left w:val="single" w:sz="6" w:space="0" w:color="auto"/>
              <w:bottom w:val="single" w:sz="6" w:space="0" w:color="auto"/>
              <w:right w:val="single" w:sz="6" w:space="0" w:color="auto"/>
            </w:tcBorders>
          </w:tcPr>
          <w:p w14:paraId="378113C5"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10,518</w:t>
            </w:r>
          </w:p>
        </w:tc>
        <w:tc>
          <w:tcPr>
            <w:tcW w:w="1049" w:type="dxa"/>
            <w:tcBorders>
              <w:top w:val="single" w:sz="6" w:space="0" w:color="auto"/>
              <w:left w:val="single" w:sz="6" w:space="0" w:color="auto"/>
              <w:bottom w:val="single" w:sz="6" w:space="0" w:color="auto"/>
              <w:right w:val="single" w:sz="6" w:space="0" w:color="auto"/>
            </w:tcBorders>
          </w:tcPr>
          <w:p w14:paraId="6DE04534" w14:textId="77777777" w:rsidR="005579C0" w:rsidRPr="00392E0D" w:rsidRDefault="005579C0" w:rsidP="005579C0">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3.5</w:t>
            </w:r>
          </w:p>
        </w:tc>
      </w:tr>
      <w:tr w:rsidR="005579C0" w:rsidRPr="00392E0D" w14:paraId="4A3F456E" w14:textId="77777777" w:rsidTr="005579C0">
        <w:trPr>
          <w:trHeight w:val="287"/>
        </w:trPr>
        <w:tc>
          <w:tcPr>
            <w:tcW w:w="4425" w:type="dxa"/>
            <w:tcBorders>
              <w:top w:val="single" w:sz="6" w:space="0" w:color="auto"/>
              <w:left w:val="single" w:sz="6" w:space="0" w:color="auto"/>
              <w:bottom w:val="single" w:sz="6" w:space="0" w:color="auto"/>
              <w:right w:val="single" w:sz="6" w:space="0" w:color="auto"/>
            </w:tcBorders>
          </w:tcPr>
          <w:p w14:paraId="5A17FE6E" w14:textId="77777777" w:rsidR="005579C0" w:rsidRPr="00392E0D" w:rsidRDefault="005579C0" w:rsidP="005579C0">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English Only – Proficient in English</w:t>
            </w:r>
          </w:p>
        </w:tc>
        <w:tc>
          <w:tcPr>
            <w:tcW w:w="1048" w:type="dxa"/>
            <w:tcBorders>
              <w:top w:val="single" w:sz="6" w:space="0" w:color="auto"/>
              <w:left w:val="single" w:sz="6" w:space="0" w:color="auto"/>
              <w:bottom w:val="single" w:sz="6" w:space="0" w:color="auto"/>
              <w:right w:val="single" w:sz="6" w:space="0" w:color="auto"/>
            </w:tcBorders>
          </w:tcPr>
          <w:p w14:paraId="65889820"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202,241</w:t>
            </w:r>
          </w:p>
        </w:tc>
        <w:tc>
          <w:tcPr>
            <w:tcW w:w="1049" w:type="dxa"/>
            <w:tcBorders>
              <w:top w:val="single" w:sz="6" w:space="0" w:color="auto"/>
              <w:left w:val="single" w:sz="6" w:space="0" w:color="auto"/>
              <w:bottom w:val="single" w:sz="6" w:space="0" w:color="auto"/>
              <w:right w:val="single" w:sz="6" w:space="0" w:color="auto"/>
            </w:tcBorders>
          </w:tcPr>
          <w:p w14:paraId="4440FF7B"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78.1</w:t>
            </w:r>
          </w:p>
        </w:tc>
        <w:tc>
          <w:tcPr>
            <w:tcW w:w="1049" w:type="dxa"/>
            <w:tcBorders>
              <w:top w:val="single" w:sz="6" w:space="0" w:color="auto"/>
              <w:left w:val="single" w:sz="6" w:space="0" w:color="auto"/>
              <w:bottom w:val="single" w:sz="6" w:space="0" w:color="auto"/>
              <w:right w:val="single" w:sz="6" w:space="0" w:color="auto"/>
            </w:tcBorders>
          </w:tcPr>
          <w:p w14:paraId="0C95F531"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221,990</w:t>
            </w:r>
          </w:p>
        </w:tc>
        <w:tc>
          <w:tcPr>
            <w:tcW w:w="1049" w:type="dxa"/>
            <w:tcBorders>
              <w:top w:val="single" w:sz="6" w:space="0" w:color="auto"/>
              <w:left w:val="single" w:sz="6" w:space="0" w:color="auto"/>
              <w:bottom w:val="single" w:sz="6" w:space="0" w:color="auto"/>
              <w:right w:val="single" w:sz="6" w:space="0" w:color="auto"/>
            </w:tcBorders>
          </w:tcPr>
          <w:p w14:paraId="6FEC14AA"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77.1</w:t>
            </w:r>
          </w:p>
        </w:tc>
        <w:tc>
          <w:tcPr>
            <w:tcW w:w="1049" w:type="dxa"/>
            <w:tcBorders>
              <w:top w:val="single" w:sz="6" w:space="0" w:color="auto"/>
              <w:left w:val="single" w:sz="6" w:space="0" w:color="auto"/>
              <w:bottom w:val="single" w:sz="6" w:space="0" w:color="auto"/>
              <w:right w:val="single" w:sz="6" w:space="0" w:color="auto"/>
            </w:tcBorders>
          </w:tcPr>
          <w:p w14:paraId="4EE1C2FB"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225,562</w:t>
            </w:r>
          </w:p>
        </w:tc>
        <w:tc>
          <w:tcPr>
            <w:tcW w:w="1049" w:type="dxa"/>
            <w:tcBorders>
              <w:top w:val="single" w:sz="6" w:space="0" w:color="auto"/>
              <w:left w:val="single" w:sz="6" w:space="0" w:color="auto"/>
              <w:bottom w:val="single" w:sz="6" w:space="0" w:color="auto"/>
              <w:right w:val="single" w:sz="6" w:space="0" w:color="auto"/>
            </w:tcBorders>
          </w:tcPr>
          <w:p w14:paraId="4601EF86"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75.0</w:t>
            </w:r>
          </w:p>
        </w:tc>
        <w:tc>
          <w:tcPr>
            <w:tcW w:w="1049" w:type="dxa"/>
            <w:tcBorders>
              <w:top w:val="single" w:sz="6" w:space="0" w:color="auto"/>
              <w:left w:val="single" w:sz="6" w:space="0" w:color="auto"/>
              <w:bottom w:val="single" w:sz="6" w:space="0" w:color="auto"/>
              <w:right w:val="single" w:sz="6" w:space="0" w:color="auto"/>
            </w:tcBorders>
          </w:tcPr>
          <w:p w14:paraId="534EC770"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220,862</w:t>
            </w:r>
          </w:p>
        </w:tc>
        <w:tc>
          <w:tcPr>
            <w:tcW w:w="1049" w:type="dxa"/>
            <w:tcBorders>
              <w:top w:val="single" w:sz="6" w:space="0" w:color="auto"/>
              <w:left w:val="single" w:sz="6" w:space="0" w:color="auto"/>
              <w:bottom w:val="single" w:sz="6" w:space="0" w:color="auto"/>
              <w:right w:val="single" w:sz="6" w:space="0" w:color="auto"/>
            </w:tcBorders>
          </w:tcPr>
          <w:p w14:paraId="1045F2C6" w14:textId="77777777" w:rsidR="005579C0" w:rsidRPr="00392E0D" w:rsidRDefault="005579C0" w:rsidP="005579C0">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71.8</w:t>
            </w:r>
          </w:p>
        </w:tc>
        <w:tc>
          <w:tcPr>
            <w:tcW w:w="1049" w:type="dxa"/>
            <w:tcBorders>
              <w:top w:val="single" w:sz="6" w:space="0" w:color="auto"/>
              <w:left w:val="single" w:sz="6" w:space="0" w:color="auto"/>
              <w:bottom w:val="single" w:sz="6" w:space="0" w:color="auto"/>
              <w:right w:val="single" w:sz="6" w:space="0" w:color="auto"/>
            </w:tcBorders>
          </w:tcPr>
          <w:p w14:paraId="667F5CA9" w14:textId="77777777" w:rsidR="005579C0" w:rsidRPr="00392E0D" w:rsidRDefault="005579C0" w:rsidP="005579C0">
            <w:pPr>
              <w:widowControl/>
              <w:adjustRightInd w:val="0"/>
              <w:spacing w:before="60" w:after="60"/>
              <w:ind w:right="5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211,952</w:t>
            </w:r>
          </w:p>
        </w:tc>
        <w:tc>
          <w:tcPr>
            <w:tcW w:w="1049" w:type="dxa"/>
            <w:tcBorders>
              <w:top w:val="single" w:sz="6" w:space="0" w:color="auto"/>
              <w:left w:val="single" w:sz="6" w:space="0" w:color="auto"/>
              <w:bottom w:val="single" w:sz="6" w:space="0" w:color="auto"/>
              <w:right w:val="single" w:sz="6" w:space="0" w:color="auto"/>
            </w:tcBorders>
          </w:tcPr>
          <w:p w14:paraId="3F12AB37" w14:textId="77777777" w:rsidR="005579C0" w:rsidRPr="00392E0D" w:rsidRDefault="005579C0" w:rsidP="005579C0">
            <w:pPr>
              <w:widowControl/>
              <w:adjustRightInd w:val="0"/>
              <w:spacing w:before="60" w:after="60"/>
              <w:ind w:right="170"/>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69.8</w:t>
            </w:r>
          </w:p>
        </w:tc>
      </w:tr>
    </w:tbl>
    <w:p w14:paraId="5CE41031" w14:textId="1E4C7C6C" w:rsidR="003F0F4E" w:rsidRPr="00392E0D" w:rsidRDefault="00883FF5" w:rsidP="00883FF5">
      <w:pPr>
        <w:pStyle w:val="Heading2"/>
        <w:rPr>
          <w:rFonts w:cs="Arial"/>
        </w:rPr>
      </w:pPr>
      <w:r w:rsidRPr="00392E0D">
        <w:rPr>
          <w:rFonts w:cs="Arial"/>
        </w:rPr>
        <w:lastRenderedPageBreak/>
        <w:t>Age</w:t>
      </w:r>
    </w:p>
    <w:p w14:paraId="774E008A" w14:textId="222B8782" w:rsidR="00883FF5" w:rsidRPr="00392E0D" w:rsidRDefault="00883FF5" w:rsidP="00883FF5">
      <w:pPr>
        <w:pStyle w:val="Body"/>
        <w:rPr>
          <w:rFonts w:cs="Arial"/>
        </w:rPr>
      </w:pPr>
      <w:r w:rsidRPr="00392E0D">
        <w:rPr>
          <w:rFonts w:cs="Arial"/>
        </w:rPr>
        <w:t xml:space="preserve">The average age of children was 5 years and 7 months (see Table </w:t>
      </w:r>
      <w:r w:rsidR="001424FD">
        <w:rPr>
          <w:rFonts w:cs="Arial"/>
        </w:rPr>
        <w:t>116</w:t>
      </w:r>
      <w:proofErr w:type="gramStart"/>
      <w:r w:rsidRPr="00392E0D">
        <w:rPr>
          <w:rFonts w:cs="Arial"/>
        </w:rPr>
        <w:t>)</w:t>
      </w:r>
      <w:proofErr w:type="gramEnd"/>
      <w:r w:rsidRPr="00392E0D">
        <w:rPr>
          <w:rFonts w:cs="Arial"/>
        </w:rPr>
        <w:t xml:space="preserve"> and this has remained consistent nationally across data collections (not shown in Table </w:t>
      </w:r>
      <w:r w:rsidR="003508D6">
        <w:rPr>
          <w:rFonts w:cs="Arial"/>
        </w:rPr>
        <w:t>116</w:t>
      </w:r>
      <w:r w:rsidRPr="00392E0D">
        <w:rPr>
          <w:rFonts w:cs="Arial"/>
        </w:rPr>
        <w:t>). There is some variation in the average age of children in each state and territory, reflecting the different ages that children start their first year of full-time schooling. Children in Tasmania are slightly older, at 5 years 10 months, whilst those in Western Australia are the youngest, at 5 years and 4 months.</w:t>
      </w:r>
    </w:p>
    <w:p w14:paraId="4FCF83E6" w14:textId="6B002239" w:rsidR="00883FF5" w:rsidRPr="00392E0D" w:rsidRDefault="00883FF5" w:rsidP="00883FF5">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116</w:t>
      </w:r>
      <w:r w:rsidRPr="00392E0D">
        <w:rPr>
          <w:rFonts w:cs="Arial"/>
        </w:rPr>
        <w:fldChar w:fldCharType="end"/>
      </w:r>
      <w:r w:rsidRPr="00392E0D">
        <w:rPr>
          <w:rFonts w:cs="Arial"/>
        </w:rPr>
        <w:tab/>
      </w:r>
      <w:r w:rsidRPr="00392E0D">
        <w:rPr>
          <w:rFonts w:eastAsiaTheme="minorHAnsi" w:cs="Arial"/>
        </w:rPr>
        <w:t>Average age of children in the AEDC, by child’s residential state / territory and collection cycle</w:t>
      </w:r>
    </w:p>
    <w:tbl>
      <w:tblPr>
        <w:tblW w:w="0" w:type="auto"/>
        <w:tblInd w:w="-38" w:type="dxa"/>
        <w:tblLayout w:type="fixed"/>
        <w:tblLook w:val="0000" w:firstRow="0" w:lastRow="0" w:firstColumn="0" w:lastColumn="0" w:noHBand="0" w:noVBand="0"/>
      </w:tblPr>
      <w:tblGrid>
        <w:gridCol w:w="3716"/>
        <w:gridCol w:w="4394"/>
      </w:tblGrid>
      <w:tr w:rsidR="00883FF5" w:rsidRPr="00392E0D" w14:paraId="7DF55B87" w14:textId="77777777" w:rsidTr="00883FF5">
        <w:trPr>
          <w:cantSplit/>
          <w:trHeight w:val="287"/>
          <w:tblHeader/>
        </w:trPr>
        <w:tc>
          <w:tcPr>
            <w:tcW w:w="3716" w:type="dxa"/>
            <w:tcBorders>
              <w:top w:val="single" w:sz="6" w:space="0" w:color="auto"/>
              <w:left w:val="single" w:sz="6" w:space="0" w:color="auto"/>
              <w:bottom w:val="single" w:sz="6" w:space="0" w:color="auto"/>
              <w:right w:val="single" w:sz="6" w:space="0" w:color="auto"/>
            </w:tcBorders>
          </w:tcPr>
          <w:p w14:paraId="5F93B943"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Child’s residential state/territory</w:t>
            </w:r>
          </w:p>
        </w:tc>
        <w:tc>
          <w:tcPr>
            <w:tcW w:w="4394" w:type="dxa"/>
            <w:tcBorders>
              <w:top w:val="single" w:sz="6" w:space="0" w:color="auto"/>
              <w:left w:val="single" w:sz="6" w:space="0" w:color="auto"/>
              <w:bottom w:val="single" w:sz="6" w:space="0" w:color="auto"/>
              <w:right w:val="single" w:sz="6" w:space="0" w:color="auto"/>
            </w:tcBorders>
          </w:tcPr>
          <w:p w14:paraId="413734E7"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Average age of children in the AEDC</w:t>
            </w:r>
          </w:p>
        </w:tc>
      </w:tr>
      <w:tr w:rsidR="00883FF5" w:rsidRPr="00392E0D" w14:paraId="2AAB85A7"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48C55389"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Australia </w:t>
            </w:r>
          </w:p>
        </w:tc>
        <w:tc>
          <w:tcPr>
            <w:tcW w:w="4394" w:type="dxa"/>
            <w:tcBorders>
              <w:top w:val="single" w:sz="6" w:space="0" w:color="auto"/>
              <w:left w:val="single" w:sz="6" w:space="0" w:color="auto"/>
              <w:bottom w:val="single" w:sz="6" w:space="0" w:color="auto"/>
              <w:right w:val="single" w:sz="6" w:space="0" w:color="auto"/>
            </w:tcBorders>
          </w:tcPr>
          <w:p w14:paraId="55229499"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7 months</w:t>
            </w:r>
          </w:p>
        </w:tc>
      </w:tr>
      <w:tr w:rsidR="00883FF5" w:rsidRPr="00392E0D" w14:paraId="2C833519"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113329DE"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New South Wales</w:t>
            </w:r>
          </w:p>
        </w:tc>
        <w:tc>
          <w:tcPr>
            <w:tcW w:w="4394" w:type="dxa"/>
            <w:tcBorders>
              <w:top w:val="single" w:sz="6" w:space="0" w:color="auto"/>
              <w:left w:val="single" w:sz="6" w:space="0" w:color="auto"/>
              <w:bottom w:val="single" w:sz="6" w:space="0" w:color="auto"/>
              <w:right w:val="single" w:sz="6" w:space="0" w:color="auto"/>
            </w:tcBorders>
          </w:tcPr>
          <w:p w14:paraId="72D9E716"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7 months</w:t>
            </w:r>
          </w:p>
        </w:tc>
      </w:tr>
      <w:tr w:rsidR="00883FF5" w:rsidRPr="00392E0D" w14:paraId="200003CB"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4098CE88"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Victoria</w:t>
            </w:r>
          </w:p>
        </w:tc>
        <w:tc>
          <w:tcPr>
            <w:tcW w:w="4394" w:type="dxa"/>
            <w:tcBorders>
              <w:top w:val="single" w:sz="6" w:space="0" w:color="auto"/>
              <w:left w:val="single" w:sz="6" w:space="0" w:color="auto"/>
              <w:bottom w:val="single" w:sz="6" w:space="0" w:color="auto"/>
              <w:right w:val="single" w:sz="6" w:space="0" w:color="auto"/>
            </w:tcBorders>
          </w:tcPr>
          <w:p w14:paraId="41381810"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9 months</w:t>
            </w:r>
          </w:p>
        </w:tc>
      </w:tr>
      <w:tr w:rsidR="00883FF5" w:rsidRPr="00392E0D" w14:paraId="78974AB5"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3B9E3E64"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Queensland </w:t>
            </w:r>
          </w:p>
        </w:tc>
        <w:tc>
          <w:tcPr>
            <w:tcW w:w="4394" w:type="dxa"/>
            <w:tcBorders>
              <w:top w:val="single" w:sz="6" w:space="0" w:color="auto"/>
              <w:left w:val="single" w:sz="6" w:space="0" w:color="auto"/>
              <w:bottom w:val="single" w:sz="6" w:space="0" w:color="auto"/>
              <w:right w:val="single" w:sz="6" w:space="0" w:color="auto"/>
            </w:tcBorders>
          </w:tcPr>
          <w:p w14:paraId="40CC4C48"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5 months</w:t>
            </w:r>
          </w:p>
        </w:tc>
      </w:tr>
      <w:tr w:rsidR="00883FF5" w:rsidRPr="00392E0D" w14:paraId="65F16072"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5F19F8D0"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South Australia </w:t>
            </w:r>
          </w:p>
        </w:tc>
        <w:tc>
          <w:tcPr>
            <w:tcW w:w="4394" w:type="dxa"/>
            <w:tcBorders>
              <w:top w:val="single" w:sz="6" w:space="0" w:color="auto"/>
              <w:left w:val="single" w:sz="6" w:space="0" w:color="auto"/>
              <w:bottom w:val="single" w:sz="6" w:space="0" w:color="auto"/>
              <w:right w:val="single" w:sz="6" w:space="0" w:color="auto"/>
            </w:tcBorders>
          </w:tcPr>
          <w:p w14:paraId="026B3588"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7 months</w:t>
            </w:r>
          </w:p>
        </w:tc>
      </w:tr>
      <w:tr w:rsidR="00883FF5" w:rsidRPr="00392E0D" w14:paraId="14BD1DFB"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780DDE8A"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Western Australia</w:t>
            </w:r>
          </w:p>
        </w:tc>
        <w:tc>
          <w:tcPr>
            <w:tcW w:w="4394" w:type="dxa"/>
            <w:tcBorders>
              <w:top w:val="single" w:sz="6" w:space="0" w:color="auto"/>
              <w:left w:val="single" w:sz="6" w:space="0" w:color="auto"/>
              <w:bottom w:val="single" w:sz="6" w:space="0" w:color="auto"/>
              <w:right w:val="single" w:sz="6" w:space="0" w:color="auto"/>
            </w:tcBorders>
          </w:tcPr>
          <w:p w14:paraId="471F3EE8"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4 months</w:t>
            </w:r>
          </w:p>
        </w:tc>
      </w:tr>
      <w:tr w:rsidR="00883FF5" w:rsidRPr="00392E0D" w14:paraId="2D327795"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3633D58A"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Tasmania </w:t>
            </w:r>
          </w:p>
        </w:tc>
        <w:tc>
          <w:tcPr>
            <w:tcW w:w="4394" w:type="dxa"/>
            <w:tcBorders>
              <w:top w:val="single" w:sz="6" w:space="0" w:color="auto"/>
              <w:left w:val="single" w:sz="6" w:space="0" w:color="auto"/>
              <w:bottom w:val="single" w:sz="6" w:space="0" w:color="auto"/>
              <w:right w:val="single" w:sz="6" w:space="0" w:color="auto"/>
            </w:tcBorders>
          </w:tcPr>
          <w:p w14:paraId="7D93E12D"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10 months</w:t>
            </w:r>
          </w:p>
        </w:tc>
      </w:tr>
      <w:tr w:rsidR="00883FF5" w:rsidRPr="00392E0D" w14:paraId="47A70663"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042248E7"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Northern Territory</w:t>
            </w:r>
          </w:p>
        </w:tc>
        <w:tc>
          <w:tcPr>
            <w:tcW w:w="4394" w:type="dxa"/>
            <w:tcBorders>
              <w:top w:val="single" w:sz="6" w:space="0" w:color="auto"/>
              <w:left w:val="single" w:sz="6" w:space="0" w:color="auto"/>
              <w:bottom w:val="single" w:sz="6" w:space="0" w:color="auto"/>
              <w:right w:val="single" w:sz="6" w:space="0" w:color="auto"/>
            </w:tcBorders>
          </w:tcPr>
          <w:p w14:paraId="32537B1E"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5 months</w:t>
            </w:r>
          </w:p>
        </w:tc>
      </w:tr>
      <w:tr w:rsidR="00883FF5" w:rsidRPr="00392E0D" w14:paraId="3BE566B8" w14:textId="77777777" w:rsidTr="00883FF5">
        <w:trPr>
          <w:trHeight w:val="287"/>
        </w:trPr>
        <w:tc>
          <w:tcPr>
            <w:tcW w:w="3716" w:type="dxa"/>
            <w:tcBorders>
              <w:top w:val="single" w:sz="6" w:space="0" w:color="auto"/>
              <w:left w:val="single" w:sz="6" w:space="0" w:color="auto"/>
              <w:bottom w:val="single" w:sz="6" w:space="0" w:color="auto"/>
              <w:right w:val="single" w:sz="6" w:space="0" w:color="auto"/>
            </w:tcBorders>
          </w:tcPr>
          <w:p w14:paraId="6DACF1A8" w14:textId="77777777" w:rsidR="00883FF5" w:rsidRPr="00392E0D" w:rsidRDefault="00883FF5" w:rsidP="00883FF5">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 xml:space="preserve">Australian Capital Territory </w:t>
            </w:r>
          </w:p>
        </w:tc>
        <w:tc>
          <w:tcPr>
            <w:tcW w:w="4394" w:type="dxa"/>
            <w:tcBorders>
              <w:top w:val="single" w:sz="6" w:space="0" w:color="auto"/>
              <w:left w:val="single" w:sz="6" w:space="0" w:color="auto"/>
              <w:bottom w:val="single" w:sz="6" w:space="0" w:color="auto"/>
              <w:right w:val="single" w:sz="6" w:space="0" w:color="auto"/>
            </w:tcBorders>
          </w:tcPr>
          <w:p w14:paraId="1EBFB73D" w14:textId="77777777" w:rsidR="00883FF5" w:rsidRPr="00392E0D" w:rsidRDefault="00883FF5" w:rsidP="00883FF5">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 years 7 months</w:t>
            </w:r>
          </w:p>
        </w:tc>
      </w:tr>
    </w:tbl>
    <w:p w14:paraId="2547E0CB" w14:textId="6F7829BB" w:rsidR="00772F26" w:rsidRPr="00392E0D" w:rsidRDefault="00772F26" w:rsidP="00883FF5">
      <w:pPr>
        <w:pStyle w:val="Body"/>
        <w:rPr>
          <w:rFonts w:cs="Arial"/>
        </w:rPr>
      </w:pPr>
    </w:p>
    <w:p w14:paraId="6FE5E5AA" w14:textId="77777777" w:rsidR="00772F26" w:rsidRPr="00392E0D" w:rsidRDefault="00772F26">
      <w:pPr>
        <w:widowControl/>
        <w:autoSpaceDE/>
        <w:autoSpaceDN/>
        <w:rPr>
          <w:rFonts w:ascii="Arial" w:eastAsia="Times New Roman" w:hAnsi="Arial" w:cs="Arial"/>
          <w:sz w:val="21"/>
          <w:szCs w:val="20"/>
        </w:rPr>
      </w:pPr>
      <w:r w:rsidRPr="00392E0D">
        <w:rPr>
          <w:rFonts w:ascii="Arial" w:hAnsi="Arial" w:cs="Arial"/>
        </w:rPr>
        <w:br w:type="page"/>
      </w:r>
    </w:p>
    <w:p w14:paraId="3F342C09" w14:textId="77777777" w:rsidR="00772F26" w:rsidRPr="00392E0D" w:rsidRDefault="00772F26" w:rsidP="00772F26">
      <w:pPr>
        <w:pStyle w:val="Heading2"/>
        <w:rPr>
          <w:rFonts w:cs="Arial"/>
        </w:rPr>
      </w:pPr>
      <w:r w:rsidRPr="00392E0D">
        <w:rPr>
          <w:rFonts w:cs="Arial"/>
        </w:rPr>
        <w:lastRenderedPageBreak/>
        <w:t>Children with disability, additional or special needs</w:t>
      </w:r>
    </w:p>
    <w:p w14:paraId="67177E35" w14:textId="6C476158" w:rsidR="00772F26" w:rsidRPr="00392E0D" w:rsidRDefault="00772F26" w:rsidP="00772F26">
      <w:pPr>
        <w:pStyle w:val="Body"/>
        <w:rPr>
          <w:rFonts w:cs="Arial"/>
        </w:rPr>
      </w:pPr>
      <w:r w:rsidRPr="00392E0D">
        <w:rPr>
          <w:rFonts w:cs="Arial"/>
        </w:rPr>
        <w:t xml:space="preserve">Table </w:t>
      </w:r>
      <w:r w:rsidR="001424FD">
        <w:rPr>
          <w:rFonts w:cs="Arial"/>
        </w:rPr>
        <w:t>117</w:t>
      </w:r>
      <w:r w:rsidRPr="00392E0D">
        <w:rPr>
          <w:rFonts w:cs="Arial"/>
        </w:rPr>
        <w:t xml:space="preserve"> shows the number and percentage of children included in the AEDC with special needs status and the number and percentage of children identified by teachers as requiring further assessment. Children with special needs status are those who have chronic medical, physical or intellectual disabilities that require special assistance, based on medical diagnosis.</w:t>
      </w:r>
    </w:p>
    <w:p w14:paraId="0B51A52B" w14:textId="77777777" w:rsidR="00772F26" w:rsidRPr="00392E0D" w:rsidRDefault="00772F26" w:rsidP="00772F26">
      <w:pPr>
        <w:pStyle w:val="Body"/>
        <w:rPr>
          <w:rFonts w:cs="Arial"/>
        </w:rPr>
      </w:pPr>
      <w:r w:rsidRPr="00392E0D">
        <w:rPr>
          <w:rFonts w:cs="Arial"/>
        </w:rPr>
        <w:t>The percentage of children with special needs status, which had declined by 0.3 percentage points over the last three collections, increased 0.6 percentage points in the last collection, from 4.6 per cent in 2018 to 5.2 per cent in 2021.</w:t>
      </w:r>
    </w:p>
    <w:p w14:paraId="57D708C4" w14:textId="2D7C68B6" w:rsidR="00883FF5" w:rsidRPr="00392E0D" w:rsidRDefault="00772F26" w:rsidP="00772F26">
      <w:pPr>
        <w:pStyle w:val="Body"/>
        <w:rPr>
          <w:rFonts w:cs="Arial"/>
        </w:rPr>
      </w:pPr>
      <w:r w:rsidRPr="00392E0D">
        <w:rPr>
          <w:rFonts w:cs="Arial"/>
        </w:rPr>
        <w:t>The percentage of children identified by teachers as requiring further assessment has been increasing since 2012 (10.5 percentage points) and there was a sharp increase in 2021, from 13.3 per cent in 2018 to 16.3 per cent. This may reflect the impact of the Early Years Intervention approach for the NDIS and / or COVID-19 when diagnostic assessments were not able to occur. It is relevant to note that these children are included in the domain and summary indicator results in the AEDC.</w:t>
      </w:r>
    </w:p>
    <w:p w14:paraId="53E9E590" w14:textId="34A443AC" w:rsidR="004327EE" w:rsidRPr="00392E0D" w:rsidRDefault="004327EE" w:rsidP="004327EE">
      <w:pPr>
        <w:pStyle w:val="Caption"/>
        <w:rPr>
          <w:rFonts w:eastAsiaTheme="minorHAnsi" w:cs="Arial"/>
        </w:rPr>
      </w:pPr>
      <w:r w:rsidRPr="00392E0D">
        <w:rPr>
          <w:rFonts w:cs="Arial"/>
        </w:rPr>
        <w:t xml:space="preserve">Table </w:t>
      </w:r>
      <w:r w:rsidRPr="00392E0D">
        <w:rPr>
          <w:rFonts w:cs="Arial"/>
        </w:rPr>
        <w:fldChar w:fldCharType="begin"/>
      </w:r>
      <w:r w:rsidRPr="00392E0D">
        <w:rPr>
          <w:rFonts w:cs="Arial"/>
        </w:rPr>
        <w:instrText xml:space="preserve"> SEQ Table \* ARABIC </w:instrText>
      </w:r>
      <w:r w:rsidRPr="00392E0D">
        <w:rPr>
          <w:rFonts w:cs="Arial"/>
        </w:rPr>
        <w:fldChar w:fldCharType="separate"/>
      </w:r>
      <w:r w:rsidR="001424FD">
        <w:rPr>
          <w:rFonts w:cs="Arial"/>
          <w:noProof/>
        </w:rPr>
        <w:t>117</w:t>
      </w:r>
      <w:r w:rsidRPr="00392E0D">
        <w:rPr>
          <w:rFonts w:cs="Arial"/>
        </w:rPr>
        <w:fldChar w:fldCharType="end"/>
      </w:r>
      <w:r w:rsidRPr="00392E0D">
        <w:rPr>
          <w:rFonts w:cs="Arial"/>
        </w:rPr>
        <w:tab/>
      </w:r>
      <w:r w:rsidRPr="00392E0D">
        <w:rPr>
          <w:rFonts w:eastAsiaTheme="minorHAnsi" w:cs="Arial"/>
        </w:rPr>
        <w:t>Children with special needs or needing further assessment, by collection cycle</w:t>
      </w:r>
    </w:p>
    <w:tbl>
      <w:tblPr>
        <w:tblW w:w="15198" w:type="dxa"/>
        <w:tblInd w:w="-38" w:type="dxa"/>
        <w:tblLayout w:type="fixed"/>
        <w:tblLook w:val="0000" w:firstRow="0" w:lastRow="0" w:firstColumn="0" w:lastColumn="0" w:noHBand="0" w:noVBand="0"/>
      </w:tblPr>
      <w:tblGrid>
        <w:gridCol w:w="4717"/>
        <w:gridCol w:w="1048"/>
        <w:gridCol w:w="1048"/>
        <w:gridCol w:w="1048"/>
        <w:gridCol w:w="1048"/>
        <w:gridCol w:w="1048"/>
        <w:gridCol w:w="1048"/>
        <w:gridCol w:w="1048"/>
        <w:gridCol w:w="1048"/>
        <w:gridCol w:w="1048"/>
        <w:gridCol w:w="1049"/>
      </w:tblGrid>
      <w:tr w:rsidR="001E6194" w:rsidRPr="00392E0D" w14:paraId="4E6BF631" w14:textId="77777777" w:rsidTr="001E6194">
        <w:trPr>
          <w:cantSplit/>
          <w:trHeight w:val="287"/>
          <w:tblHeader/>
        </w:trPr>
        <w:tc>
          <w:tcPr>
            <w:tcW w:w="4717" w:type="dxa"/>
            <w:tcBorders>
              <w:top w:val="single" w:sz="6" w:space="0" w:color="auto"/>
              <w:left w:val="single" w:sz="6" w:space="0" w:color="auto"/>
              <w:bottom w:val="single" w:sz="6" w:space="0" w:color="auto"/>
              <w:right w:val="single" w:sz="6" w:space="0" w:color="auto"/>
            </w:tcBorders>
          </w:tcPr>
          <w:p w14:paraId="56ADCA74" w14:textId="77777777" w:rsidR="004327EE" w:rsidRPr="00392E0D" w:rsidRDefault="004327EE" w:rsidP="001E6194">
            <w:pPr>
              <w:widowControl/>
              <w:adjustRightInd w:val="0"/>
              <w:spacing w:before="60" w:after="60"/>
              <w:jc w:val="right"/>
              <w:rPr>
                <w:rFonts w:ascii="Arial" w:eastAsiaTheme="minorHAnsi" w:hAnsi="Arial" w:cs="Arial"/>
                <w:color w:val="000000"/>
                <w:sz w:val="20"/>
                <w:szCs w:val="20"/>
                <w:lang w:val="en-AU"/>
              </w:rPr>
            </w:pPr>
          </w:p>
        </w:tc>
        <w:tc>
          <w:tcPr>
            <w:tcW w:w="1048" w:type="dxa"/>
            <w:tcBorders>
              <w:top w:val="single" w:sz="6" w:space="0" w:color="auto"/>
              <w:left w:val="single" w:sz="6" w:space="0" w:color="auto"/>
              <w:bottom w:val="single" w:sz="6" w:space="0" w:color="auto"/>
              <w:right w:val="single" w:sz="6" w:space="0" w:color="auto"/>
            </w:tcBorders>
            <w:vAlign w:val="center"/>
          </w:tcPr>
          <w:p w14:paraId="643CAF23"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 (n)</w:t>
            </w:r>
          </w:p>
        </w:tc>
        <w:tc>
          <w:tcPr>
            <w:tcW w:w="1048" w:type="dxa"/>
            <w:tcBorders>
              <w:top w:val="single" w:sz="6" w:space="0" w:color="auto"/>
              <w:left w:val="single" w:sz="6" w:space="0" w:color="auto"/>
              <w:bottom w:val="single" w:sz="6" w:space="0" w:color="auto"/>
              <w:right w:val="single" w:sz="6" w:space="0" w:color="auto"/>
            </w:tcBorders>
            <w:vAlign w:val="center"/>
          </w:tcPr>
          <w:p w14:paraId="0717BA3E"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2009 (%)</w:t>
            </w:r>
          </w:p>
        </w:tc>
        <w:tc>
          <w:tcPr>
            <w:tcW w:w="1048" w:type="dxa"/>
            <w:tcBorders>
              <w:top w:val="single" w:sz="6" w:space="0" w:color="auto"/>
              <w:left w:val="single" w:sz="6" w:space="0" w:color="auto"/>
              <w:bottom w:val="single" w:sz="6" w:space="0" w:color="auto"/>
              <w:right w:val="single" w:sz="6" w:space="0" w:color="auto"/>
            </w:tcBorders>
            <w:vAlign w:val="center"/>
          </w:tcPr>
          <w:p w14:paraId="34509EE9"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 (n)</w:t>
            </w:r>
          </w:p>
        </w:tc>
        <w:tc>
          <w:tcPr>
            <w:tcW w:w="1048" w:type="dxa"/>
            <w:tcBorders>
              <w:top w:val="single" w:sz="6" w:space="0" w:color="auto"/>
              <w:left w:val="single" w:sz="6" w:space="0" w:color="auto"/>
              <w:bottom w:val="single" w:sz="6" w:space="0" w:color="auto"/>
              <w:right w:val="single" w:sz="6" w:space="0" w:color="auto"/>
            </w:tcBorders>
            <w:vAlign w:val="center"/>
          </w:tcPr>
          <w:p w14:paraId="13ED27F0"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2012 (%)</w:t>
            </w:r>
          </w:p>
        </w:tc>
        <w:tc>
          <w:tcPr>
            <w:tcW w:w="1048" w:type="dxa"/>
            <w:tcBorders>
              <w:top w:val="single" w:sz="6" w:space="0" w:color="auto"/>
              <w:left w:val="single" w:sz="6" w:space="0" w:color="auto"/>
              <w:bottom w:val="single" w:sz="6" w:space="0" w:color="auto"/>
              <w:right w:val="single" w:sz="6" w:space="0" w:color="auto"/>
            </w:tcBorders>
            <w:vAlign w:val="center"/>
          </w:tcPr>
          <w:p w14:paraId="0C21ED1F"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 (n)</w:t>
            </w:r>
          </w:p>
        </w:tc>
        <w:tc>
          <w:tcPr>
            <w:tcW w:w="1048" w:type="dxa"/>
            <w:tcBorders>
              <w:top w:val="single" w:sz="6" w:space="0" w:color="auto"/>
              <w:left w:val="single" w:sz="6" w:space="0" w:color="auto"/>
              <w:bottom w:val="single" w:sz="6" w:space="0" w:color="auto"/>
              <w:right w:val="single" w:sz="6" w:space="0" w:color="auto"/>
            </w:tcBorders>
            <w:vAlign w:val="center"/>
          </w:tcPr>
          <w:p w14:paraId="0C9263F4"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2015 (%)</w:t>
            </w:r>
          </w:p>
        </w:tc>
        <w:tc>
          <w:tcPr>
            <w:tcW w:w="1048" w:type="dxa"/>
            <w:tcBorders>
              <w:top w:val="single" w:sz="6" w:space="0" w:color="auto"/>
              <w:left w:val="single" w:sz="6" w:space="0" w:color="auto"/>
              <w:bottom w:val="single" w:sz="6" w:space="0" w:color="auto"/>
              <w:right w:val="single" w:sz="6" w:space="0" w:color="auto"/>
            </w:tcBorders>
            <w:vAlign w:val="center"/>
          </w:tcPr>
          <w:p w14:paraId="67114920"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 (n)</w:t>
            </w:r>
          </w:p>
        </w:tc>
        <w:tc>
          <w:tcPr>
            <w:tcW w:w="1048" w:type="dxa"/>
            <w:tcBorders>
              <w:top w:val="single" w:sz="6" w:space="0" w:color="auto"/>
              <w:left w:val="single" w:sz="6" w:space="0" w:color="auto"/>
              <w:bottom w:val="single" w:sz="6" w:space="0" w:color="auto"/>
              <w:right w:val="single" w:sz="6" w:space="0" w:color="auto"/>
            </w:tcBorders>
            <w:vAlign w:val="center"/>
          </w:tcPr>
          <w:p w14:paraId="1D2F4764"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2018 (%)</w:t>
            </w:r>
          </w:p>
        </w:tc>
        <w:tc>
          <w:tcPr>
            <w:tcW w:w="1048" w:type="dxa"/>
            <w:tcBorders>
              <w:top w:val="single" w:sz="6" w:space="0" w:color="auto"/>
              <w:left w:val="single" w:sz="6" w:space="0" w:color="auto"/>
              <w:bottom w:val="single" w:sz="6" w:space="0" w:color="auto"/>
              <w:right w:val="single" w:sz="6" w:space="0" w:color="auto"/>
            </w:tcBorders>
            <w:vAlign w:val="center"/>
          </w:tcPr>
          <w:p w14:paraId="39D276FC"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 (n)</w:t>
            </w:r>
          </w:p>
        </w:tc>
        <w:tc>
          <w:tcPr>
            <w:tcW w:w="1049" w:type="dxa"/>
            <w:tcBorders>
              <w:top w:val="single" w:sz="6" w:space="0" w:color="auto"/>
              <w:left w:val="single" w:sz="6" w:space="0" w:color="auto"/>
              <w:bottom w:val="single" w:sz="6" w:space="0" w:color="auto"/>
              <w:right w:val="single" w:sz="6" w:space="0" w:color="auto"/>
            </w:tcBorders>
            <w:vAlign w:val="center"/>
          </w:tcPr>
          <w:p w14:paraId="5A2B691A" w14:textId="77777777" w:rsidR="004327EE" w:rsidRPr="00392E0D" w:rsidRDefault="004327EE" w:rsidP="001E6194">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2021 (%)</w:t>
            </w:r>
          </w:p>
        </w:tc>
      </w:tr>
      <w:tr w:rsidR="001E6194" w:rsidRPr="00392E0D" w14:paraId="243708D3" w14:textId="77777777" w:rsidTr="000E337A">
        <w:trPr>
          <w:trHeight w:val="597"/>
        </w:trPr>
        <w:tc>
          <w:tcPr>
            <w:tcW w:w="4717" w:type="dxa"/>
            <w:tcBorders>
              <w:top w:val="single" w:sz="6" w:space="0" w:color="auto"/>
              <w:left w:val="single" w:sz="6" w:space="0" w:color="auto"/>
              <w:bottom w:val="single" w:sz="6" w:space="0" w:color="auto"/>
              <w:right w:val="single" w:sz="6" w:space="0" w:color="auto"/>
            </w:tcBorders>
            <w:vAlign w:val="center"/>
          </w:tcPr>
          <w:p w14:paraId="1ED09749" w14:textId="77777777" w:rsidR="004327EE" w:rsidRPr="00392E0D" w:rsidRDefault="004327EE" w:rsidP="001E6194">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 with special needs status</w:t>
            </w:r>
          </w:p>
        </w:tc>
        <w:tc>
          <w:tcPr>
            <w:tcW w:w="1048" w:type="dxa"/>
            <w:tcBorders>
              <w:top w:val="single" w:sz="6" w:space="0" w:color="auto"/>
              <w:left w:val="single" w:sz="6" w:space="0" w:color="auto"/>
              <w:bottom w:val="single" w:sz="6" w:space="0" w:color="auto"/>
              <w:right w:val="single" w:sz="6" w:space="0" w:color="auto"/>
            </w:tcBorders>
            <w:vAlign w:val="center"/>
          </w:tcPr>
          <w:p w14:paraId="43488B0F"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11,484</w:t>
            </w:r>
          </w:p>
        </w:tc>
        <w:tc>
          <w:tcPr>
            <w:tcW w:w="1048" w:type="dxa"/>
            <w:tcBorders>
              <w:top w:val="single" w:sz="6" w:space="0" w:color="auto"/>
              <w:left w:val="single" w:sz="6" w:space="0" w:color="auto"/>
              <w:bottom w:val="single" w:sz="6" w:space="0" w:color="auto"/>
              <w:right w:val="single" w:sz="6" w:space="0" w:color="auto"/>
            </w:tcBorders>
            <w:vAlign w:val="center"/>
          </w:tcPr>
          <w:p w14:paraId="510B997D"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4.4</w:t>
            </w:r>
          </w:p>
        </w:tc>
        <w:tc>
          <w:tcPr>
            <w:tcW w:w="1048" w:type="dxa"/>
            <w:tcBorders>
              <w:top w:val="single" w:sz="6" w:space="0" w:color="auto"/>
              <w:left w:val="single" w:sz="6" w:space="0" w:color="auto"/>
              <w:bottom w:val="single" w:sz="6" w:space="0" w:color="auto"/>
              <w:right w:val="single" w:sz="6" w:space="0" w:color="auto"/>
            </w:tcBorders>
            <w:vAlign w:val="center"/>
          </w:tcPr>
          <w:p w14:paraId="450C1E7C"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14,173</w:t>
            </w:r>
          </w:p>
        </w:tc>
        <w:tc>
          <w:tcPr>
            <w:tcW w:w="1048" w:type="dxa"/>
            <w:tcBorders>
              <w:top w:val="single" w:sz="6" w:space="0" w:color="auto"/>
              <w:left w:val="single" w:sz="6" w:space="0" w:color="auto"/>
              <w:bottom w:val="single" w:sz="6" w:space="0" w:color="auto"/>
              <w:right w:val="single" w:sz="6" w:space="0" w:color="auto"/>
            </w:tcBorders>
            <w:vAlign w:val="center"/>
          </w:tcPr>
          <w:p w14:paraId="7CFA5F39"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4.9</w:t>
            </w:r>
          </w:p>
        </w:tc>
        <w:tc>
          <w:tcPr>
            <w:tcW w:w="1048" w:type="dxa"/>
            <w:tcBorders>
              <w:top w:val="single" w:sz="6" w:space="0" w:color="auto"/>
              <w:left w:val="single" w:sz="6" w:space="0" w:color="auto"/>
              <w:bottom w:val="single" w:sz="6" w:space="0" w:color="auto"/>
              <w:right w:val="single" w:sz="6" w:space="0" w:color="auto"/>
            </w:tcBorders>
            <w:vAlign w:val="center"/>
          </w:tcPr>
          <w:p w14:paraId="2C24084B"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14,065</w:t>
            </w:r>
          </w:p>
        </w:tc>
        <w:tc>
          <w:tcPr>
            <w:tcW w:w="1048" w:type="dxa"/>
            <w:tcBorders>
              <w:top w:val="single" w:sz="6" w:space="0" w:color="auto"/>
              <w:left w:val="single" w:sz="6" w:space="0" w:color="auto"/>
              <w:bottom w:val="single" w:sz="6" w:space="0" w:color="auto"/>
              <w:right w:val="single" w:sz="6" w:space="0" w:color="auto"/>
            </w:tcBorders>
            <w:vAlign w:val="center"/>
          </w:tcPr>
          <w:p w14:paraId="7D5EDF03"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w:t>
            </w:r>
          </w:p>
        </w:tc>
        <w:tc>
          <w:tcPr>
            <w:tcW w:w="1048" w:type="dxa"/>
            <w:tcBorders>
              <w:top w:val="single" w:sz="6" w:space="0" w:color="auto"/>
              <w:left w:val="single" w:sz="6" w:space="0" w:color="auto"/>
              <w:bottom w:val="single" w:sz="6" w:space="0" w:color="auto"/>
              <w:right w:val="single" w:sz="6" w:space="0" w:color="auto"/>
            </w:tcBorders>
            <w:vAlign w:val="center"/>
          </w:tcPr>
          <w:p w14:paraId="3B9E7804"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14,059</w:t>
            </w:r>
          </w:p>
        </w:tc>
        <w:tc>
          <w:tcPr>
            <w:tcW w:w="1048" w:type="dxa"/>
            <w:tcBorders>
              <w:top w:val="single" w:sz="6" w:space="0" w:color="auto"/>
              <w:left w:val="single" w:sz="6" w:space="0" w:color="auto"/>
              <w:bottom w:val="single" w:sz="6" w:space="0" w:color="auto"/>
              <w:right w:val="single" w:sz="6" w:space="0" w:color="auto"/>
            </w:tcBorders>
            <w:vAlign w:val="center"/>
          </w:tcPr>
          <w:p w14:paraId="496F0A18"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w:t>
            </w:r>
          </w:p>
        </w:tc>
        <w:tc>
          <w:tcPr>
            <w:tcW w:w="1048" w:type="dxa"/>
            <w:tcBorders>
              <w:top w:val="single" w:sz="6" w:space="0" w:color="auto"/>
              <w:left w:val="single" w:sz="6" w:space="0" w:color="auto"/>
              <w:bottom w:val="single" w:sz="6" w:space="0" w:color="auto"/>
              <w:right w:val="single" w:sz="6" w:space="0" w:color="auto"/>
            </w:tcBorders>
            <w:vAlign w:val="center"/>
          </w:tcPr>
          <w:p w14:paraId="43E30FFD"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15,895</w:t>
            </w:r>
          </w:p>
        </w:tc>
        <w:tc>
          <w:tcPr>
            <w:tcW w:w="1049" w:type="dxa"/>
            <w:tcBorders>
              <w:top w:val="single" w:sz="6" w:space="0" w:color="auto"/>
              <w:left w:val="single" w:sz="6" w:space="0" w:color="auto"/>
              <w:bottom w:val="single" w:sz="6" w:space="0" w:color="auto"/>
              <w:right w:val="single" w:sz="6" w:space="0" w:color="auto"/>
            </w:tcBorders>
            <w:vAlign w:val="center"/>
          </w:tcPr>
          <w:p w14:paraId="78E92B82"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5.2</w:t>
            </w:r>
          </w:p>
        </w:tc>
      </w:tr>
      <w:tr w:rsidR="004327EE" w:rsidRPr="00392E0D" w14:paraId="07205DF7" w14:textId="77777777" w:rsidTr="004327EE">
        <w:trPr>
          <w:trHeight w:val="860"/>
        </w:trPr>
        <w:tc>
          <w:tcPr>
            <w:tcW w:w="4717" w:type="dxa"/>
            <w:tcBorders>
              <w:top w:val="single" w:sz="6" w:space="0" w:color="auto"/>
              <w:left w:val="single" w:sz="6" w:space="0" w:color="auto"/>
              <w:bottom w:val="single" w:sz="6" w:space="0" w:color="auto"/>
              <w:right w:val="single" w:sz="6" w:space="0" w:color="auto"/>
            </w:tcBorders>
            <w:vAlign w:val="center"/>
          </w:tcPr>
          <w:p w14:paraId="6E5A3E06" w14:textId="77777777" w:rsidR="004327EE" w:rsidRPr="00392E0D" w:rsidRDefault="004327EE" w:rsidP="001E6194">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Children needing further assessment (e.g. medical and physical, behaviour management, emotional and cognitive development)</w:t>
            </w:r>
          </w:p>
        </w:tc>
        <w:tc>
          <w:tcPr>
            <w:tcW w:w="1048" w:type="dxa"/>
            <w:tcBorders>
              <w:top w:val="single" w:sz="6" w:space="0" w:color="auto"/>
              <w:left w:val="single" w:sz="6" w:space="0" w:color="auto"/>
              <w:bottom w:val="single" w:sz="6" w:space="0" w:color="auto"/>
              <w:right w:val="single" w:sz="6" w:space="0" w:color="auto"/>
            </w:tcBorders>
            <w:vAlign w:val="center"/>
          </w:tcPr>
          <w:p w14:paraId="170A4EF0"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27,218</w:t>
            </w:r>
          </w:p>
        </w:tc>
        <w:tc>
          <w:tcPr>
            <w:tcW w:w="1048" w:type="dxa"/>
            <w:tcBorders>
              <w:top w:val="single" w:sz="6" w:space="0" w:color="auto"/>
              <w:left w:val="single" w:sz="6" w:space="0" w:color="auto"/>
              <w:bottom w:val="single" w:sz="6" w:space="0" w:color="auto"/>
              <w:right w:val="single" w:sz="6" w:space="0" w:color="auto"/>
            </w:tcBorders>
            <w:vAlign w:val="center"/>
          </w:tcPr>
          <w:p w14:paraId="01831041"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10.7</w:t>
            </w:r>
          </w:p>
        </w:tc>
        <w:tc>
          <w:tcPr>
            <w:tcW w:w="1048" w:type="dxa"/>
            <w:tcBorders>
              <w:top w:val="single" w:sz="6" w:space="0" w:color="auto"/>
              <w:left w:val="single" w:sz="6" w:space="0" w:color="auto"/>
              <w:bottom w:val="single" w:sz="6" w:space="0" w:color="auto"/>
              <w:right w:val="single" w:sz="6" w:space="0" w:color="auto"/>
            </w:tcBorders>
            <w:vAlign w:val="center"/>
          </w:tcPr>
          <w:p w14:paraId="1C133088"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29,628</w:t>
            </w:r>
          </w:p>
        </w:tc>
        <w:tc>
          <w:tcPr>
            <w:tcW w:w="1048" w:type="dxa"/>
            <w:tcBorders>
              <w:top w:val="single" w:sz="6" w:space="0" w:color="auto"/>
              <w:left w:val="single" w:sz="6" w:space="0" w:color="auto"/>
              <w:bottom w:val="single" w:sz="6" w:space="0" w:color="auto"/>
              <w:right w:val="single" w:sz="6" w:space="0" w:color="auto"/>
            </w:tcBorders>
            <w:vAlign w:val="center"/>
          </w:tcPr>
          <w:p w14:paraId="27399D9D"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10.5</w:t>
            </w:r>
          </w:p>
        </w:tc>
        <w:tc>
          <w:tcPr>
            <w:tcW w:w="1048" w:type="dxa"/>
            <w:tcBorders>
              <w:top w:val="single" w:sz="6" w:space="0" w:color="auto"/>
              <w:left w:val="single" w:sz="6" w:space="0" w:color="auto"/>
              <w:bottom w:val="single" w:sz="6" w:space="0" w:color="auto"/>
              <w:right w:val="single" w:sz="6" w:space="0" w:color="auto"/>
            </w:tcBorders>
            <w:vAlign w:val="center"/>
          </w:tcPr>
          <w:p w14:paraId="68604498"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34,793</w:t>
            </w:r>
          </w:p>
        </w:tc>
        <w:tc>
          <w:tcPr>
            <w:tcW w:w="1048" w:type="dxa"/>
            <w:tcBorders>
              <w:top w:val="single" w:sz="6" w:space="0" w:color="auto"/>
              <w:left w:val="single" w:sz="6" w:space="0" w:color="auto"/>
              <w:bottom w:val="single" w:sz="6" w:space="0" w:color="auto"/>
              <w:right w:val="single" w:sz="6" w:space="0" w:color="auto"/>
            </w:tcBorders>
            <w:vAlign w:val="center"/>
          </w:tcPr>
          <w:p w14:paraId="50347863"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11.8</w:t>
            </w:r>
          </w:p>
        </w:tc>
        <w:tc>
          <w:tcPr>
            <w:tcW w:w="1048" w:type="dxa"/>
            <w:tcBorders>
              <w:top w:val="single" w:sz="6" w:space="0" w:color="auto"/>
              <w:left w:val="single" w:sz="6" w:space="0" w:color="auto"/>
              <w:bottom w:val="single" w:sz="6" w:space="0" w:color="auto"/>
              <w:right w:val="single" w:sz="6" w:space="0" w:color="auto"/>
            </w:tcBorders>
            <w:vAlign w:val="center"/>
          </w:tcPr>
          <w:p w14:paraId="07FB452F"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39,861</w:t>
            </w:r>
          </w:p>
        </w:tc>
        <w:tc>
          <w:tcPr>
            <w:tcW w:w="1048" w:type="dxa"/>
            <w:tcBorders>
              <w:top w:val="single" w:sz="6" w:space="0" w:color="auto"/>
              <w:left w:val="single" w:sz="6" w:space="0" w:color="auto"/>
              <w:bottom w:val="single" w:sz="6" w:space="0" w:color="auto"/>
              <w:right w:val="single" w:sz="6" w:space="0" w:color="auto"/>
            </w:tcBorders>
            <w:vAlign w:val="center"/>
          </w:tcPr>
          <w:p w14:paraId="4D99E009"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13.3</w:t>
            </w:r>
          </w:p>
        </w:tc>
        <w:tc>
          <w:tcPr>
            <w:tcW w:w="1048" w:type="dxa"/>
            <w:tcBorders>
              <w:top w:val="single" w:sz="6" w:space="0" w:color="auto"/>
              <w:left w:val="single" w:sz="6" w:space="0" w:color="auto"/>
              <w:bottom w:val="single" w:sz="6" w:space="0" w:color="auto"/>
              <w:right w:val="single" w:sz="6" w:space="0" w:color="auto"/>
            </w:tcBorders>
            <w:vAlign w:val="center"/>
          </w:tcPr>
          <w:p w14:paraId="23348972" w14:textId="77777777" w:rsidR="004327EE" w:rsidRPr="00392E0D" w:rsidRDefault="004327EE" w:rsidP="001E6194">
            <w:pPr>
              <w:widowControl/>
              <w:adjustRightInd w:val="0"/>
              <w:spacing w:before="60" w:after="60"/>
              <w:ind w:right="113"/>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47,913</w:t>
            </w:r>
          </w:p>
        </w:tc>
        <w:tc>
          <w:tcPr>
            <w:tcW w:w="1049" w:type="dxa"/>
            <w:tcBorders>
              <w:top w:val="single" w:sz="6" w:space="0" w:color="auto"/>
              <w:left w:val="single" w:sz="6" w:space="0" w:color="auto"/>
              <w:bottom w:val="single" w:sz="6" w:space="0" w:color="auto"/>
              <w:right w:val="single" w:sz="6" w:space="0" w:color="auto"/>
            </w:tcBorders>
            <w:vAlign w:val="center"/>
          </w:tcPr>
          <w:p w14:paraId="31899B87" w14:textId="77777777" w:rsidR="004327EE" w:rsidRPr="00392E0D" w:rsidRDefault="004327EE" w:rsidP="001E6194">
            <w:pPr>
              <w:widowControl/>
              <w:adjustRightInd w:val="0"/>
              <w:spacing w:before="60" w:after="60"/>
              <w:ind w:right="22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16.3</w:t>
            </w:r>
          </w:p>
        </w:tc>
      </w:tr>
    </w:tbl>
    <w:p w14:paraId="18C9D860" w14:textId="6D9D1634" w:rsidR="000067CE" w:rsidRPr="00392E0D" w:rsidRDefault="000067CE" w:rsidP="00772F26">
      <w:pPr>
        <w:pStyle w:val="Body"/>
        <w:rPr>
          <w:rFonts w:cs="Arial"/>
        </w:rPr>
      </w:pPr>
    </w:p>
    <w:p w14:paraId="1DA125B1" w14:textId="77777777" w:rsidR="000067CE" w:rsidRPr="00392E0D" w:rsidRDefault="000067CE">
      <w:pPr>
        <w:widowControl/>
        <w:autoSpaceDE/>
        <w:autoSpaceDN/>
        <w:rPr>
          <w:rFonts w:ascii="Arial" w:eastAsia="Times New Roman" w:hAnsi="Arial" w:cs="Arial"/>
          <w:sz w:val="21"/>
          <w:szCs w:val="20"/>
        </w:rPr>
        <w:sectPr w:rsidR="000067CE" w:rsidRPr="00392E0D" w:rsidSect="001E1A5B">
          <w:pgSz w:w="16838" w:h="11906" w:orient="landscape" w:code="9"/>
          <w:pgMar w:top="851" w:right="851" w:bottom="851" w:left="851" w:header="284" w:footer="340" w:gutter="0"/>
          <w:cols w:space="708"/>
          <w:docGrid w:linePitch="360"/>
        </w:sectPr>
      </w:pPr>
    </w:p>
    <w:p w14:paraId="4DF092F9" w14:textId="3A9F10AD" w:rsidR="00772F26" w:rsidRPr="00392E0D" w:rsidRDefault="00396E03" w:rsidP="00396E03">
      <w:pPr>
        <w:pStyle w:val="Heading2"/>
        <w:rPr>
          <w:rFonts w:cs="Arial"/>
        </w:rPr>
      </w:pPr>
      <w:r w:rsidRPr="00392E0D">
        <w:rPr>
          <w:rFonts w:cs="Arial"/>
        </w:rPr>
        <w:lastRenderedPageBreak/>
        <w:t>Gender differences</w:t>
      </w:r>
    </w:p>
    <w:p w14:paraId="34B3EA75" w14:textId="77777777" w:rsidR="00396E03" w:rsidRPr="00392E0D" w:rsidRDefault="00396E03" w:rsidP="00396E03">
      <w:pPr>
        <w:pStyle w:val="Body"/>
        <w:rPr>
          <w:rFonts w:cs="Arial"/>
        </w:rPr>
      </w:pPr>
      <w:r w:rsidRPr="00392E0D">
        <w:rPr>
          <w:rFonts w:cs="Arial"/>
        </w:rPr>
        <w:t>Males and females are biologically different and develop at different rates throughout early childhood. Females generally develop more quickly than males and this is reflected in the AEDC results.</w:t>
      </w:r>
    </w:p>
    <w:p w14:paraId="13C9DAE6" w14:textId="617EB73F" w:rsidR="00396E03" w:rsidRPr="00392E0D" w:rsidRDefault="00396E03" w:rsidP="00396E03">
      <w:pPr>
        <w:pStyle w:val="Body"/>
        <w:rPr>
          <w:rFonts w:cs="Arial"/>
        </w:rPr>
      </w:pPr>
      <w:r w:rsidRPr="00392E0D">
        <w:rPr>
          <w:rFonts w:cs="Arial"/>
        </w:rPr>
        <w:t xml:space="preserve">As shown in </w:t>
      </w:r>
      <w:r w:rsidR="001424FD">
        <w:rPr>
          <w:rFonts w:cs="Arial"/>
        </w:rPr>
        <w:t>Table 118</w:t>
      </w:r>
      <w:r w:rsidRPr="00392E0D">
        <w:rPr>
          <w:rFonts w:cs="Arial"/>
        </w:rPr>
        <w:t>, in 2021, boys (28.2 per cent) were nearly twice as likely to be developmentally vulnerable on one or more domain(s) (DV1) of the AEDC compared to girls (15.8 per cent), increasing to more than twice as likely to be developmentally vulnerable on two or more domains (DV2), (15.6 per cent boys vs 7.1 per cent girls). Just less than five in ten boys (46.6 per cent) were on track on all five domains (OT5) compared to more than 6 in 10 girls (63.0 per cent).</w:t>
      </w:r>
    </w:p>
    <w:p w14:paraId="41DF56D0" w14:textId="2465D514" w:rsidR="00396E03" w:rsidRPr="00392E0D" w:rsidRDefault="00396E03" w:rsidP="00396E03">
      <w:pPr>
        <w:pStyle w:val="Body"/>
        <w:rPr>
          <w:rFonts w:cs="Arial"/>
        </w:rPr>
      </w:pPr>
      <w:r w:rsidRPr="00392E0D">
        <w:rPr>
          <w:rFonts w:cs="Arial"/>
        </w:rPr>
        <w:t xml:space="preserve">This large gender gap in child development observed in AEDC results at school entry has remained </w:t>
      </w:r>
      <w:proofErr w:type="gramStart"/>
      <w:r w:rsidRPr="00392E0D">
        <w:rPr>
          <w:rFonts w:cs="Arial"/>
        </w:rPr>
        <w:t>fairly consistent</w:t>
      </w:r>
      <w:proofErr w:type="gramEnd"/>
      <w:r w:rsidRPr="00392E0D">
        <w:rPr>
          <w:rFonts w:cs="Arial"/>
        </w:rPr>
        <w:t xml:space="preserve"> over time.</w:t>
      </w:r>
    </w:p>
    <w:p w14:paraId="034F8AB4" w14:textId="0F1EC14D" w:rsidR="00396E03" w:rsidRPr="00392E0D" w:rsidRDefault="00396E03" w:rsidP="00396E03">
      <w:pPr>
        <w:pStyle w:val="Body"/>
        <w:rPr>
          <w:rFonts w:cs="Arial"/>
          <w:color w:val="000000" w:themeColor="text1"/>
        </w:rPr>
      </w:pPr>
      <w:r w:rsidRPr="00392E0D">
        <w:rPr>
          <w:rFonts w:cs="Arial"/>
          <w:color w:val="000000" w:themeColor="text1"/>
        </w:rPr>
        <w:t>This research snapshot (</w:t>
      </w:r>
      <w:hyperlink r:id="rId33" w:history="1">
        <w:r w:rsidRPr="00392E0D">
          <w:rPr>
            <w:rStyle w:val="Hyperlink"/>
            <w:rFonts w:cs="Arial"/>
            <w:color w:val="000000" w:themeColor="text1"/>
          </w:rPr>
          <w:t>aedc.gov.au/</w:t>
        </w:r>
        <w:proofErr w:type="spellStart"/>
        <w:r w:rsidRPr="00392E0D">
          <w:rPr>
            <w:rStyle w:val="Hyperlink"/>
            <w:rFonts w:cs="Arial"/>
            <w:color w:val="000000" w:themeColor="text1"/>
          </w:rPr>
          <w:t>gendiff</w:t>
        </w:r>
        <w:proofErr w:type="spellEnd"/>
      </w:hyperlink>
      <w:r w:rsidRPr="00392E0D">
        <w:rPr>
          <w:rFonts w:cs="Arial"/>
          <w:color w:val="000000" w:themeColor="text1"/>
        </w:rPr>
        <w:t>) looks at these issues in further detail.</w:t>
      </w:r>
    </w:p>
    <w:p w14:paraId="679C3990" w14:textId="79EB7158" w:rsidR="001424FD" w:rsidRPr="001424FD" w:rsidRDefault="001424FD" w:rsidP="001424FD">
      <w:pPr>
        <w:pStyle w:val="Caption"/>
        <w:rPr>
          <w:rFonts w:eastAsiaTheme="minorHAnsi" w:cs="Arial"/>
          <w:lang w:val="en-AU"/>
        </w:rPr>
      </w:pPr>
      <w:r>
        <w:t xml:space="preserve">Table </w:t>
      </w:r>
      <w:r>
        <w:fldChar w:fldCharType="begin"/>
      </w:r>
      <w:r>
        <w:instrText xml:space="preserve"> SEQ Table \* ARABIC </w:instrText>
      </w:r>
      <w:r>
        <w:fldChar w:fldCharType="separate"/>
      </w:r>
      <w:r>
        <w:rPr>
          <w:noProof/>
        </w:rPr>
        <w:t>118</w:t>
      </w:r>
      <w:r>
        <w:fldChar w:fldCharType="end"/>
      </w:r>
      <w:r>
        <w:tab/>
      </w:r>
      <w:r w:rsidR="000E337A" w:rsidRPr="00392E0D">
        <w:rPr>
          <w:rFonts w:eastAsiaTheme="minorHAnsi" w:cs="Arial"/>
          <w:lang w:val="en-AU"/>
        </w:rPr>
        <w:t>Gender differences in AEDC summary indicators (%): DV1, DV2 and OT5, 2021</w:t>
      </w:r>
    </w:p>
    <w:tbl>
      <w:tblPr>
        <w:tblW w:w="0" w:type="auto"/>
        <w:tblInd w:w="-30" w:type="dxa"/>
        <w:tblLayout w:type="fixed"/>
        <w:tblLook w:val="0000" w:firstRow="0" w:lastRow="0" w:firstColumn="0" w:lastColumn="0" w:noHBand="0" w:noVBand="0"/>
      </w:tblPr>
      <w:tblGrid>
        <w:gridCol w:w="974"/>
        <w:gridCol w:w="1438"/>
        <w:gridCol w:w="1438"/>
      </w:tblGrid>
      <w:tr w:rsidR="000E337A" w:rsidRPr="00392E0D" w14:paraId="73637899" w14:textId="77777777" w:rsidTr="000067CE">
        <w:trPr>
          <w:trHeight w:val="287"/>
          <w:tblHeader/>
        </w:trPr>
        <w:tc>
          <w:tcPr>
            <w:tcW w:w="974" w:type="dxa"/>
            <w:tcBorders>
              <w:top w:val="single" w:sz="6" w:space="0" w:color="auto"/>
              <w:left w:val="single" w:sz="6" w:space="0" w:color="auto"/>
              <w:bottom w:val="single" w:sz="6" w:space="0" w:color="auto"/>
              <w:right w:val="single" w:sz="6" w:space="0" w:color="auto"/>
            </w:tcBorders>
            <w:vAlign w:val="bottom"/>
          </w:tcPr>
          <w:p w14:paraId="71DA0245" w14:textId="77777777" w:rsidR="000E337A" w:rsidRPr="00392E0D" w:rsidRDefault="000E337A" w:rsidP="000067CE">
            <w:pPr>
              <w:widowControl/>
              <w:adjustRightInd w:val="0"/>
              <w:spacing w:before="60" w:after="60"/>
              <w:jc w:val="center"/>
              <w:rPr>
                <w:rFonts w:ascii="Arial" w:eastAsiaTheme="minorHAnsi" w:hAnsi="Arial" w:cs="Arial"/>
                <w:color w:val="000000"/>
                <w:sz w:val="20"/>
                <w:szCs w:val="20"/>
                <w:lang w:val="en-AU"/>
              </w:rPr>
            </w:pPr>
          </w:p>
        </w:tc>
        <w:tc>
          <w:tcPr>
            <w:tcW w:w="1438" w:type="dxa"/>
            <w:tcBorders>
              <w:top w:val="single" w:sz="6" w:space="0" w:color="auto"/>
              <w:left w:val="single" w:sz="6" w:space="0" w:color="auto"/>
              <w:bottom w:val="single" w:sz="6" w:space="0" w:color="auto"/>
              <w:right w:val="single" w:sz="6" w:space="0" w:color="auto"/>
            </w:tcBorders>
            <w:vAlign w:val="bottom"/>
          </w:tcPr>
          <w:p w14:paraId="539603C8" w14:textId="77777777" w:rsidR="000E337A" w:rsidRPr="00392E0D" w:rsidRDefault="000E337A" w:rsidP="000067C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Males</w:t>
            </w:r>
          </w:p>
        </w:tc>
        <w:tc>
          <w:tcPr>
            <w:tcW w:w="1438" w:type="dxa"/>
            <w:tcBorders>
              <w:top w:val="single" w:sz="6" w:space="0" w:color="auto"/>
              <w:left w:val="single" w:sz="6" w:space="0" w:color="auto"/>
              <w:bottom w:val="single" w:sz="6" w:space="0" w:color="auto"/>
              <w:right w:val="single" w:sz="6" w:space="0" w:color="auto"/>
            </w:tcBorders>
            <w:vAlign w:val="bottom"/>
          </w:tcPr>
          <w:p w14:paraId="3D1BED18" w14:textId="77777777" w:rsidR="000E337A" w:rsidRPr="00392E0D" w:rsidRDefault="000E337A" w:rsidP="000067CE">
            <w:pPr>
              <w:widowControl/>
              <w:adjustRightInd w:val="0"/>
              <w:spacing w:before="60" w:after="60"/>
              <w:jc w:val="center"/>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Females</w:t>
            </w:r>
          </w:p>
        </w:tc>
      </w:tr>
      <w:tr w:rsidR="000E337A" w:rsidRPr="00392E0D" w14:paraId="647158FA" w14:textId="77777777" w:rsidTr="000067CE">
        <w:trPr>
          <w:trHeight w:val="287"/>
        </w:trPr>
        <w:tc>
          <w:tcPr>
            <w:tcW w:w="974" w:type="dxa"/>
            <w:tcBorders>
              <w:top w:val="single" w:sz="6" w:space="0" w:color="auto"/>
              <w:left w:val="single" w:sz="6" w:space="0" w:color="auto"/>
              <w:bottom w:val="single" w:sz="6" w:space="0" w:color="auto"/>
              <w:right w:val="single" w:sz="6" w:space="0" w:color="auto"/>
            </w:tcBorders>
          </w:tcPr>
          <w:p w14:paraId="4A167F57" w14:textId="77777777" w:rsidR="000E337A" w:rsidRPr="00392E0D" w:rsidRDefault="000E337A" w:rsidP="000067CE">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DV1</w:t>
            </w:r>
          </w:p>
        </w:tc>
        <w:tc>
          <w:tcPr>
            <w:tcW w:w="1438" w:type="dxa"/>
            <w:tcBorders>
              <w:top w:val="single" w:sz="6" w:space="0" w:color="auto"/>
              <w:left w:val="single" w:sz="6" w:space="0" w:color="auto"/>
              <w:bottom w:val="single" w:sz="6" w:space="0" w:color="auto"/>
              <w:right w:val="single" w:sz="6" w:space="0" w:color="auto"/>
            </w:tcBorders>
          </w:tcPr>
          <w:p w14:paraId="5C200CE3" w14:textId="77777777" w:rsidR="000E337A" w:rsidRPr="00392E0D" w:rsidRDefault="000E337A" w:rsidP="000067CE">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28.2</w:t>
            </w:r>
          </w:p>
        </w:tc>
        <w:tc>
          <w:tcPr>
            <w:tcW w:w="1438" w:type="dxa"/>
            <w:tcBorders>
              <w:top w:val="single" w:sz="6" w:space="0" w:color="auto"/>
              <w:left w:val="single" w:sz="6" w:space="0" w:color="auto"/>
              <w:bottom w:val="single" w:sz="6" w:space="0" w:color="auto"/>
              <w:right w:val="single" w:sz="6" w:space="0" w:color="auto"/>
            </w:tcBorders>
          </w:tcPr>
          <w:p w14:paraId="549B49F7" w14:textId="77777777" w:rsidR="000E337A" w:rsidRPr="00392E0D" w:rsidRDefault="000E337A" w:rsidP="000067CE">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15.8</w:t>
            </w:r>
          </w:p>
        </w:tc>
      </w:tr>
      <w:tr w:rsidR="000E337A" w:rsidRPr="00392E0D" w14:paraId="3A65B688" w14:textId="77777777" w:rsidTr="000067CE">
        <w:trPr>
          <w:trHeight w:val="287"/>
        </w:trPr>
        <w:tc>
          <w:tcPr>
            <w:tcW w:w="974" w:type="dxa"/>
            <w:tcBorders>
              <w:top w:val="single" w:sz="6" w:space="0" w:color="auto"/>
              <w:left w:val="single" w:sz="6" w:space="0" w:color="auto"/>
              <w:bottom w:val="single" w:sz="6" w:space="0" w:color="auto"/>
              <w:right w:val="single" w:sz="6" w:space="0" w:color="auto"/>
            </w:tcBorders>
          </w:tcPr>
          <w:p w14:paraId="6B6F5D43" w14:textId="77777777" w:rsidR="000E337A" w:rsidRPr="00392E0D" w:rsidRDefault="000E337A" w:rsidP="000067CE">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DV2</w:t>
            </w:r>
          </w:p>
        </w:tc>
        <w:tc>
          <w:tcPr>
            <w:tcW w:w="1438" w:type="dxa"/>
            <w:tcBorders>
              <w:top w:val="single" w:sz="6" w:space="0" w:color="auto"/>
              <w:left w:val="single" w:sz="6" w:space="0" w:color="auto"/>
              <w:bottom w:val="single" w:sz="6" w:space="0" w:color="auto"/>
              <w:right w:val="single" w:sz="6" w:space="0" w:color="auto"/>
            </w:tcBorders>
          </w:tcPr>
          <w:p w14:paraId="2A59C981" w14:textId="77777777" w:rsidR="000E337A" w:rsidRPr="00392E0D" w:rsidRDefault="000E337A" w:rsidP="000067CE">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15.6</w:t>
            </w:r>
          </w:p>
        </w:tc>
        <w:tc>
          <w:tcPr>
            <w:tcW w:w="1438" w:type="dxa"/>
            <w:tcBorders>
              <w:top w:val="single" w:sz="6" w:space="0" w:color="auto"/>
              <w:left w:val="single" w:sz="6" w:space="0" w:color="auto"/>
              <w:bottom w:val="single" w:sz="6" w:space="0" w:color="auto"/>
              <w:right w:val="single" w:sz="6" w:space="0" w:color="auto"/>
            </w:tcBorders>
          </w:tcPr>
          <w:p w14:paraId="51941E92" w14:textId="77777777" w:rsidR="000E337A" w:rsidRPr="00392E0D" w:rsidRDefault="000E337A" w:rsidP="000067CE">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7.1</w:t>
            </w:r>
          </w:p>
        </w:tc>
      </w:tr>
      <w:tr w:rsidR="000E337A" w:rsidRPr="00392E0D" w14:paraId="51400EC5" w14:textId="77777777" w:rsidTr="000067CE">
        <w:trPr>
          <w:trHeight w:val="287"/>
        </w:trPr>
        <w:tc>
          <w:tcPr>
            <w:tcW w:w="974" w:type="dxa"/>
            <w:tcBorders>
              <w:top w:val="single" w:sz="6" w:space="0" w:color="auto"/>
              <w:left w:val="single" w:sz="6" w:space="0" w:color="auto"/>
              <w:bottom w:val="single" w:sz="6" w:space="0" w:color="auto"/>
              <w:right w:val="single" w:sz="6" w:space="0" w:color="auto"/>
            </w:tcBorders>
          </w:tcPr>
          <w:p w14:paraId="6B186408" w14:textId="77777777" w:rsidR="000E337A" w:rsidRPr="00392E0D" w:rsidRDefault="000E337A" w:rsidP="000067CE">
            <w:pPr>
              <w:widowControl/>
              <w:adjustRightInd w:val="0"/>
              <w:spacing w:before="60" w:after="60"/>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OT5</w:t>
            </w:r>
          </w:p>
        </w:tc>
        <w:tc>
          <w:tcPr>
            <w:tcW w:w="1438" w:type="dxa"/>
            <w:tcBorders>
              <w:top w:val="single" w:sz="6" w:space="0" w:color="auto"/>
              <w:left w:val="single" w:sz="6" w:space="0" w:color="auto"/>
              <w:bottom w:val="single" w:sz="6" w:space="0" w:color="auto"/>
              <w:right w:val="single" w:sz="6" w:space="0" w:color="auto"/>
            </w:tcBorders>
          </w:tcPr>
          <w:p w14:paraId="21C284F0" w14:textId="77777777" w:rsidR="000E337A" w:rsidRPr="00392E0D" w:rsidRDefault="000E337A" w:rsidP="000067CE">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46.6</w:t>
            </w:r>
          </w:p>
        </w:tc>
        <w:tc>
          <w:tcPr>
            <w:tcW w:w="1438" w:type="dxa"/>
            <w:tcBorders>
              <w:top w:val="single" w:sz="6" w:space="0" w:color="auto"/>
              <w:left w:val="single" w:sz="6" w:space="0" w:color="auto"/>
              <w:bottom w:val="single" w:sz="6" w:space="0" w:color="auto"/>
              <w:right w:val="single" w:sz="6" w:space="0" w:color="auto"/>
            </w:tcBorders>
          </w:tcPr>
          <w:p w14:paraId="3E72B2BF" w14:textId="77777777" w:rsidR="000E337A" w:rsidRPr="00392E0D" w:rsidRDefault="000E337A" w:rsidP="000067CE">
            <w:pPr>
              <w:widowControl/>
              <w:adjustRightInd w:val="0"/>
              <w:spacing w:before="60" w:after="60"/>
              <w:ind w:right="397"/>
              <w:jc w:val="right"/>
              <w:rPr>
                <w:rFonts w:ascii="Arial" w:eastAsiaTheme="minorHAnsi" w:hAnsi="Arial" w:cs="Arial"/>
                <w:color w:val="000000"/>
                <w:sz w:val="20"/>
                <w:szCs w:val="20"/>
                <w:lang w:val="en-AU"/>
              </w:rPr>
            </w:pPr>
            <w:r w:rsidRPr="00392E0D">
              <w:rPr>
                <w:rFonts w:ascii="Arial" w:eastAsiaTheme="minorHAnsi" w:hAnsi="Arial" w:cs="Arial"/>
                <w:color w:val="000000"/>
                <w:sz w:val="20"/>
                <w:szCs w:val="20"/>
                <w:lang w:val="en-AU"/>
              </w:rPr>
              <w:t>63.0</w:t>
            </w:r>
          </w:p>
        </w:tc>
      </w:tr>
    </w:tbl>
    <w:p w14:paraId="604C175D" w14:textId="77777777" w:rsidR="000D0778" w:rsidRPr="00392E0D" w:rsidRDefault="000D0778">
      <w:pPr>
        <w:widowControl/>
        <w:autoSpaceDE/>
        <w:autoSpaceDN/>
        <w:rPr>
          <w:rFonts w:ascii="Arial" w:eastAsia="Times New Roman" w:hAnsi="Arial" w:cs="Arial"/>
          <w:color w:val="000000" w:themeColor="text1"/>
          <w:sz w:val="21"/>
          <w:szCs w:val="20"/>
        </w:rPr>
      </w:pPr>
      <w:r w:rsidRPr="00392E0D">
        <w:rPr>
          <w:rFonts w:ascii="Arial" w:hAnsi="Arial" w:cs="Arial"/>
          <w:color w:val="000000" w:themeColor="text1"/>
        </w:rPr>
        <w:br w:type="page"/>
      </w:r>
    </w:p>
    <w:p w14:paraId="14A40C66" w14:textId="263B44DA" w:rsidR="00B87DAC" w:rsidRPr="00392E0D" w:rsidRDefault="000D0778" w:rsidP="00B17B02">
      <w:pPr>
        <w:pStyle w:val="Heading1"/>
        <w:rPr>
          <w:rFonts w:cs="Arial"/>
        </w:rPr>
      </w:pPr>
      <w:bookmarkStart w:id="17" w:name="_Toc99530580"/>
      <w:r w:rsidRPr="00392E0D">
        <w:rPr>
          <w:rFonts w:cs="Arial"/>
        </w:rPr>
        <w:lastRenderedPageBreak/>
        <w:t>Appendix 4</w:t>
      </w:r>
      <w:r w:rsidR="00B17B02" w:rsidRPr="00392E0D">
        <w:rPr>
          <w:rFonts w:cs="Arial"/>
        </w:rPr>
        <w:tab/>
      </w:r>
      <w:r w:rsidRPr="00392E0D">
        <w:rPr>
          <w:rFonts w:cs="Arial"/>
        </w:rPr>
        <w:t>AEDC additional resources</w:t>
      </w:r>
      <w:bookmarkEnd w:id="17"/>
    </w:p>
    <w:p w14:paraId="35EEEE3C" w14:textId="29EA6DEE" w:rsidR="00B17B02" w:rsidRPr="00392E0D" w:rsidRDefault="00B17B02" w:rsidP="00B17B02">
      <w:pPr>
        <w:pStyle w:val="Body"/>
        <w:rPr>
          <w:rFonts w:cs="Arial"/>
          <w:color w:val="000000" w:themeColor="text1"/>
        </w:rPr>
      </w:pPr>
      <w:r w:rsidRPr="00392E0D">
        <w:rPr>
          <w:rFonts w:cs="Arial"/>
          <w:color w:val="000000" w:themeColor="text1"/>
        </w:rPr>
        <w:t>A variety of resources are available online which provide more information about the scope and purpose of the program and assist with understanding AEDC results. The resources listed below can be accessed through the AEDC website (</w:t>
      </w:r>
      <w:hyperlink r:id="rId34" w:history="1">
        <w:r w:rsidRPr="00392E0D">
          <w:rPr>
            <w:rStyle w:val="Hyperlink"/>
            <w:rFonts w:cs="Arial"/>
            <w:color w:val="000000" w:themeColor="text1"/>
          </w:rPr>
          <w:t>aedc.gov.au</w:t>
        </w:r>
      </w:hyperlink>
      <w:r w:rsidRPr="00392E0D">
        <w:rPr>
          <w:rFonts w:cs="Arial"/>
          <w:color w:val="000000" w:themeColor="text1"/>
        </w:rPr>
        <w:t>) or alternatively by clicking on the links provided.</w:t>
      </w:r>
    </w:p>
    <w:p w14:paraId="7E33B011" w14:textId="77777777" w:rsidR="00B17B02" w:rsidRPr="00392E0D" w:rsidRDefault="00B17B02" w:rsidP="00B17B02">
      <w:pPr>
        <w:pStyle w:val="Heading2"/>
        <w:rPr>
          <w:rFonts w:cs="Arial"/>
          <w:color w:val="000000" w:themeColor="text1"/>
        </w:rPr>
      </w:pPr>
      <w:r w:rsidRPr="00392E0D">
        <w:rPr>
          <w:rFonts w:cs="Arial"/>
          <w:color w:val="000000" w:themeColor="text1"/>
        </w:rPr>
        <w:t>Data Explorer</w:t>
      </w:r>
    </w:p>
    <w:p w14:paraId="664EB382" w14:textId="21881DD4" w:rsidR="00B17B02" w:rsidRPr="00392E0D" w:rsidRDefault="00B17B02" w:rsidP="00B17B02">
      <w:pPr>
        <w:pStyle w:val="Body"/>
        <w:rPr>
          <w:rFonts w:cs="Arial"/>
          <w:color w:val="000000" w:themeColor="text1"/>
        </w:rPr>
      </w:pPr>
      <w:r w:rsidRPr="00392E0D">
        <w:rPr>
          <w:rFonts w:cs="Arial"/>
          <w:color w:val="000000" w:themeColor="text1"/>
        </w:rPr>
        <w:t>The online Data Explorer is a searchable data resource available through the AEDC website (</w:t>
      </w:r>
      <w:hyperlink r:id="rId35" w:history="1">
        <w:r w:rsidRPr="00392E0D">
          <w:rPr>
            <w:rStyle w:val="Hyperlink"/>
            <w:rFonts w:cs="Arial"/>
            <w:color w:val="000000" w:themeColor="text1"/>
          </w:rPr>
          <w:t>aedc.gov.au/data</w:t>
        </w:r>
      </w:hyperlink>
      <w:r w:rsidRPr="00392E0D">
        <w:rPr>
          <w:rFonts w:cs="Arial"/>
          <w:color w:val="000000" w:themeColor="text1"/>
        </w:rPr>
        <w:t>). Results are presented at the national, state and territory, AEDC Community and Local Community level. Comparisons can be made across years and Geographies. A range of AEDC Community level reports, tables, charts and maps are available for download.</w:t>
      </w:r>
    </w:p>
    <w:p w14:paraId="74497D2E" w14:textId="7DED03BC" w:rsidR="00B17B02" w:rsidRPr="00392E0D" w:rsidRDefault="00B17B02" w:rsidP="00B17B02">
      <w:pPr>
        <w:pStyle w:val="Body"/>
        <w:rPr>
          <w:rFonts w:cs="Arial"/>
          <w:color w:val="000000" w:themeColor="text1"/>
        </w:rPr>
      </w:pPr>
      <w:r w:rsidRPr="00392E0D">
        <w:rPr>
          <w:rFonts w:cs="Arial"/>
          <w:color w:val="000000" w:themeColor="text1"/>
        </w:rPr>
        <w:t>Additional data products such as public tables with summary indicator and domain results by Local Government Area (LGA), Statistical Area Levels 2, 3 and 4 (SA2, SA3, SA4), Greater Capital City Statistical Areas (</w:t>
      </w:r>
      <w:proofErr w:type="spellStart"/>
      <w:r w:rsidRPr="00392E0D">
        <w:rPr>
          <w:rFonts w:cs="Arial"/>
          <w:color w:val="000000" w:themeColor="text1"/>
        </w:rPr>
        <w:t>GCCSA</w:t>
      </w:r>
      <w:proofErr w:type="spellEnd"/>
      <w:r w:rsidRPr="00392E0D">
        <w:rPr>
          <w:rFonts w:cs="Arial"/>
          <w:color w:val="000000" w:themeColor="text1"/>
        </w:rPr>
        <w:t xml:space="preserve">), Remoteness and </w:t>
      </w:r>
      <w:proofErr w:type="spellStart"/>
      <w:r w:rsidRPr="00392E0D">
        <w:rPr>
          <w:rFonts w:cs="Arial"/>
          <w:color w:val="000000" w:themeColor="text1"/>
        </w:rPr>
        <w:t>SEIFA</w:t>
      </w:r>
      <w:proofErr w:type="spellEnd"/>
      <w:r w:rsidRPr="00392E0D">
        <w:rPr>
          <w:rFonts w:cs="Arial"/>
          <w:color w:val="000000" w:themeColor="text1"/>
        </w:rPr>
        <w:t xml:space="preserve"> can also be downloaded (</w:t>
      </w:r>
      <w:hyperlink r:id="rId36" w:history="1">
        <w:r w:rsidRPr="00392E0D">
          <w:rPr>
            <w:rStyle w:val="Hyperlink"/>
            <w:rFonts w:cs="Arial"/>
            <w:color w:val="000000" w:themeColor="text1"/>
          </w:rPr>
          <w:t>aedc.gov.au/data/downloads</w:t>
        </w:r>
      </w:hyperlink>
      <w:r w:rsidRPr="00392E0D">
        <w:rPr>
          <w:rFonts w:cs="Arial"/>
          <w:color w:val="000000" w:themeColor="text1"/>
        </w:rPr>
        <w:t>).</w:t>
      </w:r>
    </w:p>
    <w:p w14:paraId="37A836E5" w14:textId="11B6E1FB" w:rsidR="00B17B02" w:rsidRPr="00392E0D" w:rsidRDefault="00B17B02" w:rsidP="00B17B02">
      <w:pPr>
        <w:pStyle w:val="Body"/>
        <w:rPr>
          <w:rFonts w:cs="Arial"/>
          <w:color w:val="000000" w:themeColor="text1"/>
        </w:rPr>
      </w:pPr>
      <w:r w:rsidRPr="00392E0D">
        <w:rPr>
          <w:rFonts w:cs="Arial"/>
          <w:color w:val="000000" w:themeColor="text1"/>
        </w:rPr>
        <w:t xml:space="preserve">The AEDC community results tables (aedc.gov.au/tables) </w:t>
      </w:r>
      <w:proofErr w:type="spellStart"/>
      <w:r w:rsidRPr="00392E0D">
        <w:rPr>
          <w:rFonts w:cs="Arial"/>
          <w:color w:val="000000" w:themeColor="text1"/>
        </w:rPr>
        <w:t>summarise</w:t>
      </w:r>
      <w:proofErr w:type="spellEnd"/>
      <w:r w:rsidRPr="00392E0D">
        <w:rPr>
          <w:rFonts w:cs="Arial"/>
          <w:color w:val="000000" w:themeColor="text1"/>
        </w:rPr>
        <w:t xml:space="preserve"> results for each AEDC community and the local communities within it.</w:t>
      </w:r>
    </w:p>
    <w:p w14:paraId="289728AD" w14:textId="77777777" w:rsidR="00B17B02" w:rsidRPr="00392E0D" w:rsidRDefault="00B17B02" w:rsidP="00B17B02">
      <w:pPr>
        <w:pStyle w:val="Heading2"/>
        <w:rPr>
          <w:rFonts w:cs="Arial"/>
        </w:rPr>
      </w:pPr>
      <w:r w:rsidRPr="00392E0D">
        <w:rPr>
          <w:rFonts w:cs="Arial"/>
        </w:rPr>
        <w:t>Accessing AEDC data</w:t>
      </w:r>
    </w:p>
    <w:p w14:paraId="4A003164" w14:textId="257BE3FA" w:rsidR="00B17B02" w:rsidRPr="00392E0D" w:rsidRDefault="00B17B02" w:rsidP="00B17B02">
      <w:pPr>
        <w:pStyle w:val="Body"/>
        <w:rPr>
          <w:rFonts w:cs="Arial"/>
          <w:color w:val="000000" w:themeColor="text1"/>
        </w:rPr>
      </w:pPr>
      <w:r w:rsidRPr="00392E0D">
        <w:rPr>
          <w:rFonts w:cs="Arial"/>
          <w:color w:val="000000" w:themeColor="text1"/>
        </w:rPr>
        <w:t>In addition to Data Explorer, data is also released publicly through Community Profiles and other publications that can be found in the Resources section of the website.</w:t>
      </w:r>
    </w:p>
    <w:p w14:paraId="04739A2E" w14:textId="77777777" w:rsidR="00B17B02" w:rsidRPr="00392E0D" w:rsidRDefault="00B17B02" w:rsidP="00B17B02">
      <w:pPr>
        <w:pStyle w:val="Body"/>
        <w:rPr>
          <w:rFonts w:cs="Arial"/>
          <w:color w:val="000000" w:themeColor="text1"/>
        </w:rPr>
      </w:pPr>
      <w:r w:rsidRPr="00392E0D">
        <w:rPr>
          <w:rFonts w:cs="Arial"/>
          <w:color w:val="000000" w:themeColor="text1"/>
        </w:rPr>
        <w:t>Data is available under agreements with the Australian Government Department of Education, Skills and Employment, and these agreements prescribe the type of access and use of AEDC data.</w:t>
      </w:r>
    </w:p>
    <w:p w14:paraId="1729C5C2" w14:textId="349FA1C9" w:rsidR="00B17B02" w:rsidRPr="00392E0D" w:rsidRDefault="00B17B02" w:rsidP="00B17B02">
      <w:pPr>
        <w:pStyle w:val="Body"/>
        <w:rPr>
          <w:rFonts w:cs="Arial"/>
          <w:color w:val="000000" w:themeColor="text1"/>
        </w:rPr>
      </w:pPr>
      <w:r w:rsidRPr="00392E0D">
        <w:rPr>
          <w:rFonts w:cs="Arial"/>
          <w:color w:val="000000" w:themeColor="text1"/>
        </w:rPr>
        <w:t xml:space="preserve">For data that cannot be accessed publicly or under an agreement, an application to AEDC Support is required to access the data. Depending on the type of data required, applications can be made for </w:t>
      </w:r>
      <w:proofErr w:type="spellStart"/>
      <w:r w:rsidRPr="00392E0D">
        <w:rPr>
          <w:rFonts w:cs="Arial"/>
          <w:color w:val="000000" w:themeColor="text1"/>
        </w:rPr>
        <w:t>Macrodata</w:t>
      </w:r>
      <w:proofErr w:type="spellEnd"/>
      <w:r w:rsidRPr="00392E0D">
        <w:rPr>
          <w:rFonts w:cs="Arial"/>
          <w:color w:val="000000" w:themeColor="text1"/>
        </w:rPr>
        <w:t>, Microdata, or Microdata for data linkage. Refer to section 6 of the AEDC Data Guidelines for more information about the various ways in which AEDC data can be accessed.</w:t>
      </w:r>
    </w:p>
    <w:p w14:paraId="30DDDD86" w14:textId="77777777" w:rsidR="00B17B02" w:rsidRPr="00392E0D" w:rsidRDefault="00B17B02" w:rsidP="00B17B02">
      <w:pPr>
        <w:pStyle w:val="Body"/>
        <w:rPr>
          <w:rFonts w:cs="Arial"/>
          <w:color w:val="000000" w:themeColor="text1"/>
        </w:rPr>
      </w:pPr>
      <w:r w:rsidRPr="00392E0D">
        <w:rPr>
          <w:rFonts w:cs="Arial"/>
          <w:color w:val="000000" w:themeColor="text1"/>
        </w:rPr>
        <w:t>Important AEDC data links:</w:t>
      </w:r>
    </w:p>
    <w:p w14:paraId="4A883B0A" w14:textId="08B54C92" w:rsidR="00B17B02" w:rsidRPr="00392E0D" w:rsidRDefault="00B17B02" w:rsidP="00B17B02">
      <w:pPr>
        <w:pStyle w:val="Bullets1"/>
        <w:rPr>
          <w:rFonts w:cs="Arial"/>
          <w:color w:val="000000" w:themeColor="text1"/>
        </w:rPr>
      </w:pPr>
      <w:r w:rsidRPr="00392E0D">
        <w:rPr>
          <w:rFonts w:cs="Arial"/>
          <w:color w:val="000000" w:themeColor="text1"/>
        </w:rPr>
        <w:t>AEDC Research Priorities (</w:t>
      </w:r>
      <w:hyperlink r:id="rId37" w:history="1">
        <w:r w:rsidRPr="00392E0D">
          <w:rPr>
            <w:rStyle w:val="Hyperlink"/>
            <w:rFonts w:cs="Arial"/>
            <w:color w:val="000000" w:themeColor="text1"/>
          </w:rPr>
          <w:t>aedc.gov.au/</w:t>
        </w:r>
        <w:proofErr w:type="spellStart"/>
        <w:r w:rsidRPr="00392E0D">
          <w:rPr>
            <w:rStyle w:val="Hyperlink"/>
            <w:rFonts w:cs="Arial"/>
            <w:color w:val="000000" w:themeColor="text1"/>
          </w:rPr>
          <w:t>rp</w:t>
        </w:r>
        <w:proofErr w:type="spellEnd"/>
      </w:hyperlink>
      <w:r w:rsidRPr="00392E0D">
        <w:rPr>
          <w:rFonts w:cs="Arial"/>
          <w:color w:val="000000" w:themeColor="text1"/>
        </w:rPr>
        <w:t>)</w:t>
      </w:r>
    </w:p>
    <w:p w14:paraId="2FEDC629" w14:textId="2E472786" w:rsidR="00B17B02" w:rsidRPr="00392E0D" w:rsidRDefault="00B17B02" w:rsidP="00B17B02">
      <w:pPr>
        <w:pStyle w:val="Bullets1"/>
        <w:rPr>
          <w:rFonts w:cs="Arial"/>
          <w:color w:val="000000" w:themeColor="text1"/>
        </w:rPr>
      </w:pPr>
      <w:r w:rsidRPr="00392E0D">
        <w:rPr>
          <w:rFonts w:cs="Arial"/>
          <w:color w:val="000000" w:themeColor="text1"/>
        </w:rPr>
        <w:t>AEDC Resources (</w:t>
      </w:r>
      <w:hyperlink r:id="rId38" w:history="1">
        <w:r w:rsidRPr="00392E0D">
          <w:rPr>
            <w:rStyle w:val="Hyperlink"/>
            <w:rFonts w:cs="Arial"/>
            <w:color w:val="000000" w:themeColor="text1"/>
          </w:rPr>
          <w:t>aedc.gov.au/resources</w:t>
        </w:r>
      </w:hyperlink>
      <w:r w:rsidRPr="00392E0D">
        <w:rPr>
          <w:rFonts w:cs="Arial"/>
          <w:color w:val="000000" w:themeColor="text1"/>
        </w:rPr>
        <w:t>)</w:t>
      </w:r>
    </w:p>
    <w:p w14:paraId="5ECF7B01" w14:textId="7AC41924" w:rsidR="00B17B02" w:rsidRPr="00392E0D" w:rsidRDefault="00B17B02" w:rsidP="00B17B02">
      <w:pPr>
        <w:pStyle w:val="Bullets1"/>
        <w:rPr>
          <w:rFonts w:cs="Arial"/>
          <w:color w:val="000000" w:themeColor="text1"/>
        </w:rPr>
      </w:pPr>
      <w:r w:rsidRPr="00392E0D">
        <w:rPr>
          <w:rFonts w:cs="Arial"/>
          <w:color w:val="000000" w:themeColor="text1"/>
        </w:rPr>
        <w:t>Accessing AEDC data under agreements with the Australian Government Department of Education, Skills and Employment (</w:t>
      </w:r>
      <w:hyperlink r:id="rId39" w:history="1">
        <w:r w:rsidRPr="00392E0D">
          <w:rPr>
            <w:rStyle w:val="Hyperlink"/>
            <w:rFonts w:cs="Arial"/>
            <w:color w:val="000000" w:themeColor="text1"/>
          </w:rPr>
          <w:t>aedc.gov.au/</w:t>
        </w:r>
        <w:proofErr w:type="spellStart"/>
        <w:r w:rsidRPr="00392E0D">
          <w:rPr>
            <w:rStyle w:val="Hyperlink"/>
            <w:rFonts w:cs="Arial"/>
            <w:color w:val="000000" w:themeColor="text1"/>
          </w:rPr>
          <w:t>dataagree</w:t>
        </w:r>
        <w:proofErr w:type="spellEnd"/>
      </w:hyperlink>
      <w:r w:rsidRPr="00392E0D">
        <w:rPr>
          <w:rFonts w:cs="Arial"/>
          <w:color w:val="000000" w:themeColor="text1"/>
        </w:rPr>
        <w:t>)</w:t>
      </w:r>
    </w:p>
    <w:p w14:paraId="0D24CB7F" w14:textId="500575A2" w:rsidR="00B17B02" w:rsidRPr="00392E0D" w:rsidRDefault="00B17B02" w:rsidP="00B17B02">
      <w:pPr>
        <w:pStyle w:val="Bullets1"/>
        <w:rPr>
          <w:rFonts w:cs="Arial"/>
          <w:color w:val="000000" w:themeColor="text1"/>
        </w:rPr>
      </w:pPr>
      <w:proofErr w:type="spellStart"/>
      <w:r w:rsidRPr="00392E0D">
        <w:rPr>
          <w:rFonts w:cs="Arial"/>
          <w:color w:val="000000" w:themeColor="text1"/>
        </w:rPr>
        <w:t>Macrodata</w:t>
      </w:r>
      <w:proofErr w:type="spellEnd"/>
      <w:r w:rsidRPr="00392E0D">
        <w:rPr>
          <w:rFonts w:cs="Arial"/>
          <w:color w:val="000000" w:themeColor="text1"/>
        </w:rPr>
        <w:t xml:space="preserve"> application (</w:t>
      </w:r>
      <w:hyperlink r:id="rId40" w:history="1">
        <w:r w:rsidRPr="00392E0D">
          <w:rPr>
            <w:rStyle w:val="Hyperlink"/>
            <w:rFonts w:cs="Arial"/>
            <w:color w:val="000000" w:themeColor="text1"/>
          </w:rPr>
          <w:t>aedc.gov.au/</w:t>
        </w:r>
        <w:proofErr w:type="spellStart"/>
        <w:r w:rsidRPr="00392E0D">
          <w:rPr>
            <w:rStyle w:val="Hyperlink"/>
            <w:rFonts w:cs="Arial"/>
            <w:color w:val="000000" w:themeColor="text1"/>
          </w:rPr>
          <w:t>appmacro</w:t>
        </w:r>
        <w:proofErr w:type="spellEnd"/>
      </w:hyperlink>
      <w:r w:rsidRPr="00392E0D">
        <w:rPr>
          <w:rFonts w:cs="Arial"/>
          <w:color w:val="000000" w:themeColor="text1"/>
        </w:rPr>
        <w:t>)</w:t>
      </w:r>
    </w:p>
    <w:p w14:paraId="1DD91792" w14:textId="7C7EB5EB" w:rsidR="00B17B02" w:rsidRPr="00392E0D" w:rsidRDefault="00B17B02" w:rsidP="00B17B02">
      <w:pPr>
        <w:pStyle w:val="Bullets1"/>
        <w:rPr>
          <w:rFonts w:cs="Arial"/>
          <w:color w:val="000000" w:themeColor="text1"/>
        </w:rPr>
      </w:pPr>
      <w:r w:rsidRPr="00392E0D">
        <w:rPr>
          <w:rFonts w:cs="Arial"/>
          <w:color w:val="000000" w:themeColor="text1"/>
        </w:rPr>
        <w:t>Microdata application (</w:t>
      </w:r>
      <w:hyperlink r:id="rId41" w:history="1">
        <w:r w:rsidRPr="00392E0D">
          <w:rPr>
            <w:rStyle w:val="Hyperlink"/>
            <w:rFonts w:cs="Arial"/>
            <w:color w:val="000000" w:themeColor="text1"/>
          </w:rPr>
          <w:t>aedc.gov.au/</w:t>
        </w:r>
        <w:proofErr w:type="spellStart"/>
        <w:r w:rsidRPr="00392E0D">
          <w:rPr>
            <w:rStyle w:val="Hyperlink"/>
            <w:rFonts w:cs="Arial"/>
            <w:color w:val="000000" w:themeColor="text1"/>
          </w:rPr>
          <w:t>appmicro</w:t>
        </w:r>
        <w:proofErr w:type="spellEnd"/>
      </w:hyperlink>
      <w:r w:rsidRPr="00392E0D">
        <w:rPr>
          <w:rFonts w:cs="Arial"/>
          <w:color w:val="000000" w:themeColor="text1"/>
        </w:rPr>
        <w:t>)</w:t>
      </w:r>
    </w:p>
    <w:p w14:paraId="41A2B005" w14:textId="2415F20F" w:rsidR="00B17B02" w:rsidRPr="00392E0D" w:rsidRDefault="00B17B02" w:rsidP="00B17B02">
      <w:pPr>
        <w:pStyle w:val="Bullets1"/>
        <w:rPr>
          <w:rFonts w:cs="Arial"/>
          <w:color w:val="000000" w:themeColor="text1"/>
        </w:rPr>
      </w:pPr>
      <w:r w:rsidRPr="00392E0D">
        <w:rPr>
          <w:rFonts w:cs="Arial"/>
          <w:color w:val="000000" w:themeColor="text1"/>
        </w:rPr>
        <w:t>Microdata for data linkage application (</w:t>
      </w:r>
      <w:hyperlink r:id="rId42" w:history="1">
        <w:r w:rsidRPr="00392E0D">
          <w:rPr>
            <w:rStyle w:val="Hyperlink"/>
            <w:rFonts w:cs="Arial"/>
            <w:color w:val="000000" w:themeColor="text1"/>
          </w:rPr>
          <w:t>aedc.gov.au/linkage</w:t>
        </w:r>
      </w:hyperlink>
      <w:r w:rsidRPr="00392E0D">
        <w:rPr>
          <w:rFonts w:cs="Arial"/>
          <w:color w:val="000000" w:themeColor="text1"/>
        </w:rPr>
        <w:t xml:space="preserve">) </w:t>
      </w:r>
    </w:p>
    <w:p w14:paraId="02F9167D" w14:textId="78F3DC53" w:rsidR="00B17B02" w:rsidRPr="00392E0D" w:rsidRDefault="00B17B02" w:rsidP="00B17B02">
      <w:pPr>
        <w:pStyle w:val="Bullets1"/>
        <w:rPr>
          <w:rFonts w:cs="Arial"/>
          <w:color w:val="000000" w:themeColor="text1"/>
        </w:rPr>
      </w:pPr>
      <w:r w:rsidRPr="00392E0D">
        <w:rPr>
          <w:rFonts w:cs="Arial"/>
          <w:color w:val="000000" w:themeColor="text1"/>
        </w:rPr>
        <w:t>AEDC Data Guidelines (</w:t>
      </w:r>
      <w:hyperlink r:id="rId43" w:history="1">
        <w:r w:rsidRPr="00392E0D">
          <w:rPr>
            <w:rStyle w:val="Hyperlink"/>
            <w:rFonts w:cs="Arial"/>
            <w:color w:val="000000" w:themeColor="text1"/>
          </w:rPr>
          <w:t>aedc.gov.au/</w:t>
        </w:r>
        <w:proofErr w:type="spellStart"/>
        <w:r w:rsidRPr="00392E0D">
          <w:rPr>
            <w:rStyle w:val="Hyperlink"/>
            <w:rFonts w:cs="Arial"/>
            <w:color w:val="000000" w:themeColor="text1"/>
          </w:rPr>
          <w:t>dataguide</w:t>
        </w:r>
        <w:proofErr w:type="spellEnd"/>
      </w:hyperlink>
      <w:r w:rsidRPr="00392E0D">
        <w:rPr>
          <w:rFonts w:cs="Arial"/>
          <w:color w:val="000000" w:themeColor="text1"/>
        </w:rPr>
        <w:t>)</w:t>
      </w:r>
    </w:p>
    <w:p w14:paraId="4ACD2674" w14:textId="3E5842CE" w:rsidR="00B17B02" w:rsidRPr="00392E0D" w:rsidRDefault="00B17B02" w:rsidP="00B17B02">
      <w:pPr>
        <w:pStyle w:val="Bullets1"/>
        <w:rPr>
          <w:rFonts w:cs="Arial"/>
          <w:color w:val="000000" w:themeColor="text1"/>
        </w:rPr>
      </w:pPr>
      <w:r w:rsidRPr="00392E0D">
        <w:rPr>
          <w:rFonts w:cs="Arial"/>
          <w:color w:val="000000" w:themeColor="text1"/>
        </w:rPr>
        <w:t xml:space="preserve">AEDC Support (Email: </w:t>
      </w:r>
      <w:hyperlink r:id="rId44" w:history="1">
        <w:r w:rsidR="00ED461E" w:rsidRPr="00392E0D">
          <w:rPr>
            <w:rStyle w:val="Hyperlink"/>
            <w:rFonts w:cs="Arial"/>
            <w:color w:val="000000" w:themeColor="text1"/>
          </w:rPr>
          <w:t>support@aedc.gov.au</w:t>
        </w:r>
      </w:hyperlink>
      <w:r w:rsidRPr="00392E0D">
        <w:rPr>
          <w:rFonts w:cs="Arial"/>
          <w:color w:val="000000" w:themeColor="text1"/>
        </w:rPr>
        <w:t>)</w:t>
      </w:r>
    </w:p>
    <w:p w14:paraId="1E92ED86" w14:textId="77777777" w:rsidR="00ED461E" w:rsidRPr="00392E0D" w:rsidRDefault="00ED461E">
      <w:pPr>
        <w:widowControl/>
        <w:autoSpaceDE/>
        <w:autoSpaceDN/>
        <w:rPr>
          <w:rFonts w:ascii="Arial" w:eastAsia="Times New Roman" w:hAnsi="Arial" w:cs="Arial"/>
          <w:sz w:val="28"/>
          <w:szCs w:val="28"/>
        </w:rPr>
      </w:pPr>
      <w:r w:rsidRPr="00392E0D">
        <w:rPr>
          <w:rFonts w:ascii="Arial" w:hAnsi="Arial" w:cs="Arial"/>
        </w:rPr>
        <w:br w:type="page"/>
      </w:r>
    </w:p>
    <w:p w14:paraId="06C225BE" w14:textId="6A8F829F" w:rsidR="00ED461E" w:rsidRPr="00392E0D" w:rsidRDefault="00ED461E" w:rsidP="00ED461E">
      <w:pPr>
        <w:pStyle w:val="Heading2"/>
        <w:rPr>
          <w:rFonts w:cs="Arial"/>
        </w:rPr>
      </w:pPr>
      <w:r w:rsidRPr="00392E0D">
        <w:rPr>
          <w:rFonts w:cs="Arial"/>
        </w:rPr>
        <w:lastRenderedPageBreak/>
        <w:t>AEDC publications</w:t>
      </w:r>
    </w:p>
    <w:p w14:paraId="612EAC42" w14:textId="77777777" w:rsidR="00ED461E" w:rsidRPr="00392E0D" w:rsidRDefault="00ED461E" w:rsidP="00ED461E">
      <w:pPr>
        <w:pStyle w:val="Body"/>
        <w:rPr>
          <w:rFonts w:cs="Arial"/>
        </w:rPr>
      </w:pPr>
      <w:r w:rsidRPr="00392E0D">
        <w:rPr>
          <w:rFonts w:cs="Arial"/>
        </w:rPr>
        <w:t>Important AEDC resources include:</w:t>
      </w:r>
    </w:p>
    <w:p w14:paraId="6C6532D5" w14:textId="5B07ACFB" w:rsidR="00ED461E" w:rsidRPr="00392E0D" w:rsidRDefault="00ED461E" w:rsidP="00ED461E">
      <w:pPr>
        <w:pStyle w:val="Bullets1"/>
        <w:rPr>
          <w:rFonts w:cs="Arial"/>
          <w:color w:val="000000" w:themeColor="text1"/>
        </w:rPr>
      </w:pPr>
      <w:r w:rsidRPr="00392E0D">
        <w:rPr>
          <w:rFonts w:cs="Arial"/>
          <w:color w:val="000000" w:themeColor="text1"/>
        </w:rPr>
        <w:t>Sector messages (</w:t>
      </w:r>
      <w:hyperlink r:id="rId45" w:history="1">
        <w:r w:rsidRPr="00392E0D">
          <w:rPr>
            <w:rStyle w:val="Hyperlink"/>
            <w:rFonts w:cs="Arial"/>
            <w:color w:val="000000" w:themeColor="text1"/>
          </w:rPr>
          <w:t>aedc.gov.au/</w:t>
        </w:r>
        <w:proofErr w:type="spellStart"/>
        <w:r w:rsidRPr="00392E0D">
          <w:rPr>
            <w:rStyle w:val="Hyperlink"/>
            <w:rFonts w:cs="Arial"/>
            <w:color w:val="000000" w:themeColor="text1"/>
          </w:rPr>
          <w:t>sectormsgs</w:t>
        </w:r>
        <w:proofErr w:type="spellEnd"/>
      </w:hyperlink>
      <w:r w:rsidRPr="00392E0D">
        <w:rPr>
          <w:rFonts w:cs="Arial"/>
          <w:color w:val="000000" w:themeColor="text1"/>
        </w:rPr>
        <w:t>)</w:t>
      </w:r>
    </w:p>
    <w:p w14:paraId="42871FF7" w14:textId="5083F259" w:rsidR="00ED461E" w:rsidRPr="00392E0D" w:rsidRDefault="00FB1439" w:rsidP="00ED461E">
      <w:pPr>
        <w:pStyle w:val="Bullets1"/>
        <w:rPr>
          <w:rFonts w:cs="Arial"/>
          <w:color w:val="000000" w:themeColor="text1"/>
        </w:rPr>
      </w:pPr>
      <w:r w:rsidRPr="00392E0D">
        <w:rPr>
          <w:rFonts w:cs="Arial"/>
          <w:color w:val="000000" w:themeColor="text1"/>
        </w:rPr>
        <w:t>Cal</w:t>
      </w:r>
      <w:r w:rsidR="00ED461E" w:rsidRPr="00392E0D">
        <w:rPr>
          <w:rFonts w:cs="Arial"/>
          <w:color w:val="000000" w:themeColor="text1"/>
        </w:rPr>
        <w:t>culation of the critical difference (</w:t>
      </w:r>
      <w:hyperlink r:id="rId46" w:history="1">
        <w:r w:rsidR="00ED461E" w:rsidRPr="00392E0D">
          <w:rPr>
            <w:rStyle w:val="Hyperlink"/>
            <w:rFonts w:cs="Arial"/>
            <w:color w:val="000000" w:themeColor="text1"/>
          </w:rPr>
          <w:t>aedc.gov.au/</w:t>
        </w:r>
        <w:proofErr w:type="spellStart"/>
        <w:r w:rsidR="00ED461E" w:rsidRPr="00392E0D">
          <w:rPr>
            <w:rStyle w:val="Hyperlink"/>
            <w:rFonts w:cs="Arial"/>
            <w:color w:val="000000" w:themeColor="text1"/>
          </w:rPr>
          <w:t>trcd</w:t>
        </w:r>
        <w:proofErr w:type="spellEnd"/>
      </w:hyperlink>
      <w:r w:rsidR="00ED461E" w:rsidRPr="00392E0D">
        <w:rPr>
          <w:rFonts w:cs="Arial"/>
          <w:color w:val="000000" w:themeColor="text1"/>
        </w:rPr>
        <w:t>)</w:t>
      </w:r>
    </w:p>
    <w:p w14:paraId="0216BD88" w14:textId="70F52003" w:rsidR="00ED461E" w:rsidRPr="00392E0D" w:rsidRDefault="00ED461E" w:rsidP="00FB1439">
      <w:pPr>
        <w:pStyle w:val="Bullets1"/>
        <w:rPr>
          <w:rFonts w:cs="Arial"/>
          <w:color w:val="000000" w:themeColor="text1"/>
        </w:rPr>
      </w:pPr>
      <w:r w:rsidRPr="00392E0D">
        <w:rPr>
          <w:rFonts w:cs="Arial"/>
          <w:color w:val="000000" w:themeColor="text1"/>
        </w:rPr>
        <w:t>AEDC user guides, for ideas and strategies on how to respond to AEDC data (</w:t>
      </w:r>
      <w:hyperlink r:id="rId47" w:history="1">
        <w:r w:rsidRPr="00392E0D">
          <w:rPr>
            <w:rStyle w:val="Hyperlink"/>
            <w:rFonts w:cs="Arial"/>
            <w:color w:val="000000" w:themeColor="text1"/>
          </w:rPr>
          <w:t>aedc.gov.au/</w:t>
        </w:r>
        <w:proofErr w:type="spellStart"/>
        <w:r w:rsidRPr="00392E0D">
          <w:rPr>
            <w:rStyle w:val="Hyperlink"/>
            <w:rFonts w:cs="Arial"/>
            <w:color w:val="000000" w:themeColor="text1"/>
          </w:rPr>
          <w:t>ugr</w:t>
        </w:r>
        <w:proofErr w:type="spellEnd"/>
      </w:hyperlink>
      <w:r w:rsidRPr="00392E0D">
        <w:rPr>
          <w:rFonts w:cs="Arial"/>
          <w:color w:val="000000" w:themeColor="text1"/>
        </w:rPr>
        <w:t>)</w:t>
      </w:r>
    </w:p>
    <w:p w14:paraId="50F2C8BD" w14:textId="06DA1193" w:rsidR="00ED461E" w:rsidRPr="00392E0D" w:rsidRDefault="00ED461E" w:rsidP="00FB1439">
      <w:pPr>
        <w:pStyle w:val="Bullets1"/>
        <w:rPr>
          <w:rFonts w:cs="Arial"/>
          <w:color w:val="000000" w:themeColor="text1"/>
        </w:rPr>
      </w:pPr>
      <w:r w:rsidRPr="00392E0D">
        <w:rPr>
          <w:rFonts w:cs="Arial"/>
          <w:color w:val="000000" w:themeColor="text1"/>
        </w:rPr>
        <w:t>About the AEDC data collection (</w:t>
      </w:r>
      <w:hyperlink r:id="rId48" w:history="1">
        <w:r w:rsidRPr="00392E0D">
          <w:rPr>
            <w:rStyle w:val="Hyperlink"/>
            <w:rFonts w:cs="Arial"/>
            <w:color w:val="000000" w:themeColor="text1"/>
          </w:rPr>
          <w:t>aedc.gov.au/</w:t>
        </w:r>
        <w:proofErr w:type="spellStart"/>
        <w:r w:rsidRPr="00392E0D">
          <w:rPr>
            <w:rStyle w:val="Hyperlink"/>
            <w:rFonts w:cs="Arial"/>
            <w:color w:val="000000" w:themeColor="text1"/>
          </w:rPr>
          <w:t>abtdata</w:t>
        </w:r>
        <w:proofErr w:type="spellEnd"/>
      </w:hyperlink>
      <w:r w:rsidRPr="00392E0D">
        <w:rPr>
          <w:rFonts w:cs="Arial"/>
          <w:color w:val="000000" w:themeColor="text1"/>
        </w:rPr>
        <w:t>)</w:t>
      </w:r>
    </w:p>
    <w:p w14:paraId="1B6DD275" w14:textId="76E0D8E4" w:rsidR="00ED461E" w:rsidRPr="00392E0D" w:rsidRDefault="00ED461E" w:rsidP="00FB1439">
      <w:pPr>
        <w:pStyle w:val="Bullets1"/>
        <w:rPr>
          <w:rFonts w:cs="Arial"/>
          <w:color w:val="000000" w:themeColor="text1"/>
        </w:rPr>
      </w:pPr>
      <w:r w:rsidRPr="00392E0D">
        <w:rPr>
          <w:rFonts w:cs="Arial"/>
          <w:color w:val="000000" w:themeColor="text1"/>
        </w:rPr>
        <w:t>About the AEDC domains (</w:t>
      </w:r>
      <w:hyperlink r:id="rId49" w:history="1">
        <w:r w:rsidRPr="00392E0D">
          <w:rPr>
            <w:rStyle w:val="Hyperlink"/>
            <w:rFonts w:cs="Arial"/>
            <w:color w:val="000000" w:themeColor="text1"/>
          </w:rPr>
          <w:t>aedc.gov.au/</w:t>
        </w:r>
        <w:proofErr w:type="spellStart"/>
        <w:r w:rsidRPr="00392E0D">
          <w:rPr>
            <w:rStyle w:val="Hyperlink"/>
            <w:rFonts w:cs="Arial"/>
            <w:color w:val="000000" w:themeColor="text1"/>
          </w:rPr>
          <w:t>abtdom</w:t>
        </w:r>
        <w:proofErr w:type="spellEnd"/>
      </w:hyperlink>
      <w:r w:rsidRPr="00392E0D">
        <w:rPr>
          <w:rFonts w:cs="Arial"/>
          <w:color w:val="000000" w:themeColor="text1"/>
        </w:rPr>
        <w:t>)</w:t>
      </w:r>
    </w:p>
    <w:p w14:paraId="3EC34DE1" w14:textId="2AED8E47" w:rsidR="00ED461E" w:rsidRPr="00392E0D" w:rsidRDefault="00ED461E" w:rsidP="00FB1439">
      <w:pPr>
        <w:pStyle w:val="Bullets1"/>
        <w:rPr>
          <w:rFonts w:cs="Arial"/>
          <w:color w:val="000000" w:themeColor="text1"/>
        </w:rPr>
      </w:pPr>
      <w:r w:rsidRPr="00392E0D">
        <w:rPr>
          <w:rFonts w:cs="Arial"/>
          <w:color w:val="000000" w:themeColor="text1"/>
        </w:rPr>
        <w:t>Definition of AEDC terms (</w:t>
      </w:r>
      <w:hyperlink r:id="rId50" w:history="1">
        <w:r w:rsidRPr="00392E0D">
          <w:rPr>
            <w:rStyle w:val="Hyperlink"/>
            <w:rFonts w:cs="Arial"/>
            <w:color w:val="000000" w:themeColor="text1"/>
          </w:rPr>
          <w:t>aedc.gov.au/</w:t>
        </w:r>
        <w:proofErr w:type="spellStart"/>
        <w:r w:rsidRPr="00392E0D">
          <w:rPr>
            <w:rStyle w:val="Hyperlink"/>
            <w:rFonts w:cs="Arial"/>
            <w:color w:val="000000" w:themeColor="text1"/>
          </w:rPr>
          <w:t>defterm</w:t>
        </w:r>
        <w:proofErr w:type="spellEnd"/>
      </w:hyperlink>
      <w:r w:rsidRPr="00392E0D">
        <w:rPr>
          <w:rFonts w:cs="Arial"/>
          <w:color w:val="000000" w:themeColor="text1"/>
        </w:rPr>
        <w:t>)</w:t>
      </w:r>
    </w:p>
    <w:p w14:paraId="4F177DB0" w14:textId="7677FF8C" w:rsidR="00ED461E" w:rsidRPr="00392E0D" w:rsidRDefault="00ED461E" w:rsidP="00FB1439">
      <w:pPr>
        <w:pStyle w:val="Bullets1"/>
        <w:rPr>
          <w:rFonts w:cs="Arial"/>
          <w:color w:val="000000" w:themeColor="text1"/>
        </w:rPr>
      </w:pPr>
      <w:r w:rsidRPr="00392E0D">
        <w:rPr>
          <w:rFonts w:cs="Arial"/>
          <w:color w:val="000000" w:themeColor="text1"/>
        </w:rPr>
        <w:t>Understanding community boundaries (</w:t>
      </w:r>
      <w:hyperlink r:id="rId51" w:history="1">
        <w:r w:rsidRPr="00392E0D">
          <w:rPr>
            <w:rStyle w:val="Hyperlink"/>
            <w:rFonts w:cs="Arial"/>
            <w:color w:val="000000" w:themeColor="text1"/>
          </w:rPr>
          <w:t>aedc.gov.au/</w:t>
        </w:r>
        <w:proofErr w:type="spellStart"/>
        <w:r w:rsidRPr="00392E0D">
          <w:rPr>
            <w:rStyle w:val="Hyperlink"/>
            <w:rFonts w:cs="Arial"/>
            <w:color w:val="000000" w:themeColor="text1"/>
          </w:rPr>
          <w:t>ucb</w:t>
        </w:r>
        <w:proofErr w:type="spellEnd"/>
      </w:hyperlink>
      <w:r w:rsidRPr="00392E0D">
        <w:rPr>
          <w:rFonts w:cs="Arial"/>
          <w:color w:val="000000" w:themeColor="text1"/>
        </w:rPr>
        <w:t>)</w:t>
      </w:r>
    </w:p>
    <w:p w14:paraId="7DDFA65E" w14:textId="7493A22E" w:rsidR="00ED461E" w:rsidRPr="00392E0D" w:rsidRDefault="00ED461E" w:rsidP="00FB1439">
      <w:pPr>
        <w:pStyle w:val="Bullets1"/>
        <w:rPr>
          <w:rFonts w:cs="Arial"/>
          <w:color w:val="000000" w:themeColor="text1"/>
        </w:rPr>
      </w:pPr>
      <w:r w:rsidRPr="00392E0D">
        <w:rPr>
          <w:rFonts w:cs="Arial"/>
          <w:color w:val="000000" w:themeColor="text1"/>
        </w:rPr>
        <w:t>Understanding the results (</w:t>
      </w:r>
      <w:hyperlink r:id="rId52" w:history="1">
        <w:r w:rsidRPr="00392E0D">
          <w:rPr>
            <w:rStyle w:val="Hyperlink"/>
            <w:rFonts w:cs="Arial"/>
            <w:color w:val="000000" w:themeColor="text1"/>
          </w:rPr>
          <w:t>aedc.gov.au/</w:t>
        </w:r>
        <w:proofErr w:type="spellStart"/>
        <w:r w:rsidRPr="00392E0D">
          <w:rPr>
            <w:rStyle w:val="Hyperlink"/>
            <w:rFonts w:cs="Arial"/>
            <w:color w:val="000000" w:themeColor="text1"/>
          </w:rPr>
          <w:t>unders</w:t>
        </w:r>
        <w:proofErr w:type="spellEnd"/>
      </w:hyperlink>
      <w:r w:rsidRPr="00392E0D">
        <w:rPr>
          <w:rFonts w:cs="Arial"/>
          <w:color w:val="000000" w:themeColor="text1"/>
        </w:rPr>
        <w:t>)</w:t>
      </w:r>
    </w:p>
    <w:p w14:paraId="2E900269" w14:textId="77777777" w:rsidR="00ED461E" w:rsidRPr="00392E0D" w:rsidRDefault="00ED461E" w:rsidP="00ED461E">
      <w:pPr>
        <w:pStyle w:val="Heading2"/>
        <w:rPr>
          <w:rFonts w:cs="Arial"/>
          <w:color w:val="000000" w:themeColor="text1"/>
        </w:rPr>
      </w:pPr>
      <w:r w:rsidRPr="00392E0D">
        <w:rPr>
          <w:rFonts w:cs="Arial"/>
          <w:color w:val="000000" w:themeColor="text1"/>
        </w:rPr>
        <w:t>Community stories</w:t>
      </w:r>
    </w:p>
    <w:p w14:paraId="17AD952E" w14:textId="5EC1B685" w:rsidR="00ED461E" w:rsidRPr="00392E0D" w:rsidRDefault="00ED461E" w:rsidP="00ED461E">
      <w:pPr>
        <w:pStyle w:val="Bullets1"/>
        <w:rPr>
          <w:rFonts w:cs="Arial"/>
          <w:color w:val="000000" w:themeColor="text1"/>
        </w:rPr>
      </w:pPr>
      <w:r w:rsidRPr="00392E0D">
        <w:rPr>
          <w:rFonts w:cs="Arial"/>
          <w:color w:val="000000" w:themeColor="text1"/>
        </w:rPr>
        <w:t>(</w:t>
      </w:r>
      <w:hyperlink r:id="rId53" w:history="1">
        <w:r w:rsidRPr="00392E0D">
          <w:rPr>
            <w:rStyle w:val="Hyperlink"/>
            <w:rFonts w:cs="Arial"/>
            <w:color w:val="000000" w:themeColor="text1"/>
          </w:rPr>
          <w:t>aedc.gov.au/cs</w:t>
        </w:r>
      </w:hyperlink>
      <w:r w:rsidRPr="00392E0D">
        <w:rPr>
          <w:rFonts w:cs="Arial"/>
          <w:color w:val="000000" w:themeColor="text1"/>
        </w:rPr>
        <w:t>)</w:t>
      </w:r>
    </w:p>
    <w:p w14:paraId="7940CE50" w14:textId="77777777" w:rsidR="00ED461E" w:rsidRPr="00392E0D" w:rsidRDefault="00ED461E" w:rsidP="00ED461E">
      <w:pPr>
        <w:pStyle w:val="Body"/>
        <w:rPr>
          <w:rFonts w:cs="Arial"/>
          <w:color w:val="000000" w:themeColor="text1"/>
        </w:rPr>
      </w:pPr>
      <w:r w:rsidRPr="00392E0D">
        <w:rPr>
          <w:rFonts w:cs="Arial"/>
          <w:color w:val="000000" w:themeColor="text1"/>
        </w:rPr>
        <w:t>A series of Community Stories have been developed to showcase the AEDC in action in communities across Australia.</w:t>
      </w:r>
    </w:p>
    <w:p w14:paraId="66BF08BA" w14:textId="77777777" w:rsidR="00ED461E" w:rsidRPr="00392E0D" w:rsidRDefault="00ED461E" w:rsidP="00ED461E">
      <w:pPr>
        <w:pStyle w:val="Heading2"/>
        <w:rPr>
          <w:rFonts w:cs="Arial"/>
          <w:color w:val="000000" w:themeColor="text1"/>
        </w:rPr>
      </w:pPr>
      <w:r w:rsidRPr="00392E0D">
        <w:rPr>
          <w:rFonts w:cs="Arial"/>
          <w:color w:val="000000" w:themeColor="text1"/>
        </w:rPr>
        <w:t>AEDC videos</w:t>
      </w:r>
    </w:p>
    <w:p w14:paraId="33DB0CF1" w14:textId="4883F73D" w:rsidR="00ED461E" w:rsidRPr="00392E0D" w:rsidRDefault="00ED461E" w:rsidP="00FB1439">
      <w:pPr>
        <w:pStyle w:val="Bullets1"/>
        <w:rPr>
          <w:rFonts w:cs="Arial"/>
          <w:color w:val="000000" w:themeColor="text1"/>
        </w:rPr>
      </w:pPr>
      <w:r w:rsidRPr="00392E0D">
        <w:rPr>
          <w:rFonts w:cs="Arial"/>
          <w:color w:val="000000" w:themeColor="text1"/>
        </w:rPr>
        <w:t>Introduction to the AEDC (</w:t>
      </w:r>
      <w:hyperlink r:id="rId54" w:history="1">
        <w:r w:rsidRPr="00392E0D">
          <w:rPr>
            <w:rStyle w:val="Hyperlink"/>
            <w:rFonts w:cs="Arial"/>
            <w:color w:val="000000" w:themeColor="text1"/>
          </w:rPr>
          <w:t>aedc.gov.au/vi1</w:t>
        </w:r>
      </w:hyperlink>
      <w:r w:rsidRPr="00392E0D">
        <w:rPr>
          <w:rFonts w:cs="Arial"/>
          <w:color w:val="000000" w:themeColor="text1"/>
        </w:rPr>
        <w:t>)</w:t>
      </w:r>
    </w:p>
    <w:p w14:paraId="2467C97E" w14:textId="09B0C0B8" w:rsidR="00ED461E" w:rsidRPr="00392E0D" w:rsidRDefault="00ED461E" w:rsidP="00FB1439">
      <w:pPr>
        <w:pStyle w:val="Bullets1"/>
        <w:rPr>
          <w:rFonts w:cs="Arial"/>
          <w:color w:val="000000" w:themeColor="text1"/>
        </w:rPr>
      </w:pPr>
      <w:r w:rsidRPr="00392E0D">
        <w:rPr>
          <w:rFonts w:cs="Arial"/>
          <w:color w:val="000000" w:themeColor="text1"/>
        </w:rPr>
        <w:t>Informing your planning (</w:t>
      </w:r>
      <w:hyperlink r:id="rId55" w:history="1">
        <w:r w:rsidRPr="00392E0D">
          <w:rPr>
            <w:rStyle w:val="Hyperlink"/>
            <w:rFonts w:cs="Arial"/>
            <w:color w:val="000000" w:themeColor="text1"/>
          </w:rPr>
          <w:t>aedc.gov.au/vi2</w:t>
        </w:r>
      </w:hyperlink>
      <w:r w:rsidRPr="00392E0D">
        <w:rPr>
          <w:rFonts w:cs="Arial"/>
          <w:color w:val="000000" w:themeColor="text1"/>
        </w:rPr>
        <w:t>)</w:t>
      </w:r>
    </w:p>
    <w:p w14:paraId="64B44E2A" w14:textId="5CDE195A" w:rsidR="008D020D" w:rsidRPr="00392E0D" w:rsidRDefault="00ED461E" w:rsidP="00FB1439">
      <w:pPr>
        <w:pStyle w:val="Bullets1"/>
        <w:rPr>
          <w:rFonts w:cs="Arial"/>
          <w:color w:val="000000" w:themeColor="text1"/>
        </w:rPr>
      </w:pPr>
      <w:r w:rsidRPr="00392E0D">
        <w:rPr>
          <w:rFonts w:cs="Arial"/>
          <w:color w:val="000000" w:themeColor="text1"/>
        </w:rPr>
        <w:t>Understanding the data (</w:t>
      </w:r>
      <w:hyperlink r:id="rId56" w:history="1">
        <w:r w:rsidRPr="00392E0D">
          <w:rPr>
            <w:rStyle w:val="Hyperlink"/>
            <w:rFonts w:cs="Arial"/>
            <w:color w:val="000000" w:themeColor="text1"/>
          </w:rPr>
          <w:t>aedc.gov.au/vi3</w:t>
        </w:r>
      </w:hyperlink>
      <w:r w:rsidRPr="00392E0D">
        <w:rPr>
          <w:rFonts w:cs="Arial"/>
          <w:color w:val="000000" w:themeColor="text1"/>
        </w:rPr>
        <w:t>)</w:t>
      </w:r>
    </w:p>
    <w:p w14:paraId="3D5F1EE0" w14:textId="77777777" w:rsidR="008D020D" w:rsidRPr="00392E0D" w:rsidRDefault="008D020D">
      <w:pPr>
        <w:widowControl/>
        <w:autoSpaceDE/>
        <w:autoSpaceDN/>
        <w:rPr>
          <w:rFonts w:ascii="Arial" w:eastAsia="Times New Roman" w:hAnsi="Arial" w:cs="Arial"/>
          <w:color w:val="000000" w:themeColor="text1"/>
          <w:sz w:val="21"/>
          <w:szCs w:val="20"/>
        </w:rPr>
      </w:pPr>
      <w:r w:rsidRPr="00392E0D">
        <w:rPr>
          <w:rFonts w:ascii="Arial" w:hAnsi="Arial" w:cs="Arial"/>
          <w:color w:val="000000" w:themeColor="text1"/>
        </w:rPr>
        <w:br w:type="page"/>
      </w:r>
    </w:p>
    <w:p w14:paraId="14974D47" w14:textId="420E0C7A" w:rsidR="00ED461E" w:rsidRPr="00392E0D" w:rsidRDefault="008D020D" w:rsidP="008D020D">
      <w:pPr>
        <w:pStyle w:val="Heading1"/>
        <w:rPr>
          <w:rFonts w:cs="Arial"/>
        </w:rPr>
      </w:pPr>
      <w:bookmarkStart w:id="18" w:name="_Toc99530581"/>
      <w:r w:rsidRPr="00392E0D">
        <w:rPr>
          <w:rFonts w:cs="Arial"/>
        </w:rPr>
        <w:lastRenderedPageBreak/>
        <w:t>Appendix 5</w:t>
      </w:r>
      <w:r w:rsidRPr="00392E0D">
        <w:rPr>
          <w:rFonts w:cs="Arial"/>
        </w:rPr>
        <w:tab/>
        <w:t>Glossary</w:t>
      </w:r>
      <w:bookmarkEnd w:id="18"/>
    </w:p>
    <w:p w14:paraId="316355BB" w14:textId="77777777" w:rsidR="008D020D" w:rsidRPr="00392E0D" w:rsidRDefault="008D020D" w:rsidP="008D020D">
      <w:pPr>
        <w:pStyle w:val="Heading2"/>
        <w:rPr>
          <w:rFonts w:cs="Arial"/>
        </w:rPr>
      </w:pPr>
      <w:r w:rsidRPr="00392E0D">
        <w:rPr>
          <w:rFonts w:cs="Arial"/>
        </w:rPr>
        <w:t>AEDC community</w:t>
      </w:r>
    </w:p>
    <w:p w14:paraId="4ADCC7BE" w14:textId="77777777" w:rsidR="008D020D" w:rsidRPr="00392E0D" w:rsidRDefault="008D020D" w:rsidP="008D020D">
      <w:pPr>
        <w:pStyle w:val="Body"/>
        <w:rPr>
          <w:rFonts w:cs="Arial"/>
        </w:rPr>
      </w:pPr>
      <w:r w:rsidRPr="00392E0D">
        <w:rPr>
          <w:rFonts w:cs="Arial"/>
        </w:rPr>
        <w:t>AEDC communities are a geographic area, usually equivalent to a Local Government Area (LGA), made up of Local Communities (see ‘Local Community’ definition).</w:t>
      </w:r>
    </w:p>
    <w:p w14:paraId="58C88E2A" w14:textId="77777777" w:rsidR="008D020D" w:rsidRPr="00392E0D" w:rsidRDefault="008D020D" w:rsidP="008D020D">
      <w:pPr>
        <w:pStyle w:val="Heading2"/>
        <w:rPr>
          <w:rFonts w:cs="Arial"/>
        </w:rPr>
      </w:pPr>
      <w:r w:rsidRPr="00392E0D">
        <w:rPr>
          <w:rFonts w:cs="Arial"/>
        </w:rPr>
        <w:t>AEDC cut-off scores</w:t>
      </w:r>
    </w:p>
    <w:p w14:paraId="2102D254" w14:textId="77777777" w:rsidR="008D020D" w:rsidRPr="00392E0D" w:rsidRDefault="008D020D" w:rsidP="008D020D">
      <w:pPr>
        <w:pStyle w:val="Body"/>
        <w:rPr>
          <w:rFonts w:cs="Arial"/>
        </w:rPr>
      </w:pPr>
      <w:r w:rsidRPr="00392E0D">
        <w:rPr>
          <w:rFonts w:cs="Arial"/>
        </w:rPr>
        <w:t>For each of the five AEDC domains, children receive a score between 0 and 10 where 0 is most developmentally vulnerable.</w:t>
      </w:r>
    </w:p>
    <w:p w14:paraId="6306229B" w14:textId="17E856C0" w:rsidR="008D020D" w:rsidRPr="00392E0D" w:rsidRDefault="008D020D" w:rsidP="008D020D">
      <w:pPr>
        <w:pStyle w:val="Body"/>
        <w:rPr>
          <w:rFonts w:cs="Arial"/>
        </w:rPr>
      </w:pPr>
      <w:r w:rsidRPr="00392E0D">
        <w:rPr>
          <w:rFonts w:cs="Arial"/>
        </w:rPr>
        <w:t>The cut off scores set in 2009 provide a reference point against which later AEDC results can be compared. These have remained the same across all collection cycles. For example, using the cut off scores established in 2009, in the 2021 AEDC 7.3 per cent of children were considered developmentally vulnerable on the language and cognitive development domain, a decrease from 8.9 per cent in 2009.</w:t>
      </w:r>
    </w:p>
    <w:p w14:paraId="7B3AE97E" w14:textId="77777777" w:rsidR="008D020D" w:rsidRPr="00392E0D" w:rsidRDefault="008D020D" w:rsidP="008D020D">
      <w:pPr>
        <w:pStyle w:val="Heading2"/>
        <w:rPr>
          <w:rFonts w:cs="Arial"/>
        </w:rPr>
      </w:pPr>
      <w:r w:rsidRPr="00392E0D">
        <w:rPr>
          <w:rFonts w:cs="Arial"/>
        </w:rPr>
        <w:t>AEDC domains</w:t>
      </w:r>
    </w:p>
    <w:p w14:paraId="483C2D84" w14:textId="190E71D9" w:rsidR="008D020D" w:rsidRPr="00392E0D" w:rsidRDefault="008D020D" w:rsidP="008D020D">
      <w:pPr>
        <w:pStyle w:val="Body"/>
        <w:rPr>
          <w:rFonts w:cs="Arial"/>
        </w:rPr>
      </w:pPr>
      <w:r w:rsidRPr="00392E0D">
        <w:rPr>
          <w:rFonts w:cs="Arial"/>
        </w:rPr>
        <w:t>The AEDC measures five areas, or domains, of early childhood development that form the foundations for later good health, education and social outcomes. These domains are:</w:t>
      </w:r>
    </w:p>
    <w:p w14:paraId="47AAED61" w14:textId="5634F263" w:rsidR="008D020D" w:rsidRPr="00392E0D" w:rsidRDefault="008D020D" w:rsidP="008D020D">
      <w:pPr>
        <w:pStyle w:val="Bullets1"/>
        <w:rPr>
          <w:rFonts w:cs="Arial"/>
        </w:rPr>
      </w:pPr>
      <w:r w:rsidRPr="00392E0D">
        <w:rPr>
          <w:rFonts w:cs="Arial"/>
        </w:rPr>
        <w:t>physical health and wellbeing</w:t>
      </w:r>
    </w:p>
    <w:p w14:paraId="03618692" w14:textId="65843917" w:rsidR="008D020D" w:rsidRPr="00392E0D" w:rsidRDefault="008D020D" w:rsidP="008D020D">
      <w:pPr>
        <w:pStyle w:val="Bullets1"/>
        <w:rPr>
          <w:rFonts w:cs="Arial"/>
        </w:rPr>
      </w:pPr>
      <w:r w:rsidRPr="00392E0D">
        <w:rPr>
          <w:rFonts w:cs="Arial"/>
        </w:rPr>
        <w:t>social competence</w:t>
      </w:r>
    </w:p>
    <w:p w14:paraId="4F744AD5" w14:textId="39104017" w:rsidR="008D020D" w:rsidRPr="00392E0D" w:rsidRDefault="008D020D" w:rsidP="008D020D">
      <w:pPr>
        <w:pStyle w:val="Bullets1"/>
        <w:rPr>
          <w:rFonts w:cs="Arial"/>
        </w:rPr>
      </w:pPr>
      <w:r w:rsidRPr="00392E0D">
        <w:rPr>
          <w:rFonts w:cs="Arial"/>
        </w:rPr>
        <w:t>emotional maturity</w:t>
      </w:r>
    </w:p>
    <w:p w14:paraId="3B67A545" w14:textId="6741B7BB" w:rsidR="008D020D" w:rsidRPr="00392E0D" w:rsidRDefault="008D020D" w:rsidP="008D020D">
      <w:pPr>
        <w:pStyle w:val="Bullets1"/>
        <w:rPr>
          <w:rFonts w:cs="Arial"/>
        </w:rPr>
      </w:pPr>
      <w:r w:rsidRPr="00392E0D">
        <w:rPr>
          <w:rFonts w:cs="Arial"/>
        </w:rPr>
        <w:t>language and cognitive skills (school-based)</w:t>
      </w:r>
    </w:p>
    <w:p w14:paraId="123C2462" w14:textId="2ED335EC" w:rsidR="008D020D" w:rsidRPr="00392E0D" w:rsidRDefault="008D020D" w:rsidP="008D020D">
      <w:pPr>
        <w:pStyle w:val="Bullets1"/>
        <w:rPr>
          <w:rFonts w:cs="Arial"/>
        </w:rPr>
      </w:pPr>
      <w:r w:rsidRPr="00392E0D">
        <w:rPr>
          <w:rFonts w:cs="Arial"/>
        </w:rPr>
        <w:t>communication skills and general knowledge.</w:t>
      </w:r>
    </w:p>
    <w:p w14:paraId="6AE57BD2" w14:textId="74188F77" w:rsidR="008D020D" w:rsidRPr="00392E0D" w:rsidRDefault="008D020D" w:rsidP="008D020D">
      <w:pPr>
        <w:pStyle w:val="Body"/>
        <w:rPr>
          <w:rFonts w:cs="Arial"/>
          <w:color w:val="000000" w:themeColor="text1"/>
        </w:rPr>
      </w:pPr>
      <w:r w:rsidRPr="00392E0D">
        <w:rPr>
          <w:rFonts w:cs="Arial"/>
          <w:color w:val="000000" w:themeColor="text1"/>
        </w:rPr>
        <w:t>More information about these domains (</w:t>
      </w:r>
      <w:hyperlink r:id="rId57" w:history="1">
        <w:r w:rsidRPr="00392E0D">
          <w:rPr>
            <w:rStyle w:val="Hyperlink"/>
            <w:rFonts w:cs="Arial"/>
            <w:color w:val="000000" w:themeColor="text1"/>
          </w:rPr>
          <w:t>aedc.gov.au/</w:t>
        </w:r>
        <w:proofErr w:type="spellStart"/>
        <w:r w:rsidRPr="00392E0D">
          <w:rPr>
            <w:rStyle w:val="Hyperlink"/>
            <w:rFonts w:cs="Arial"/>
            <w:color w:val="000000" w:themeColor="text1"/>
          </w:rPr>
          <w:t>abtdom</w:t>
        </w:r>
        <w:proofErr w:type="spellEnd"/>
      </w:hyperlink>
      <w:r w:rsidRPr="00392E0D">
        <w:rPr>
          <w:rFonts w:cs="Arial"/>
          <w:color w:val="000000" w:themeColor="text1"/>
        </w:rPr>
        <w:t>) can be found on the AEDC website.</w:t>
      </w:r>
    </w:p>
    <w:p w14:paraId="30CC58B3" w14:textId="77777777" w:rsidR="008D020D" w:rsidRPr="00392E0D" w:rsidRDefault="008D020D" w:rsidP="003508D6">
      <w:pPr>
        <w:pStyle w:val="Heading2"/>
      </w:pPr>
      <w:r w:rsidRPr="00392E0D">
        <w:t>AEDC National Committee</w:t>
      </w:r>
    </w:p>
    <w:p w14:paraId="305AE367" w14:textId="21778B8A" w:rsidR="008D020D" w:rsidRPr="00392E0D" w:rsidRDefault="008D020D" w:rsidP="008D020D">
      <w:pPr>
        <w:pStyle w:val="Body"/>
        <w:rPr>
          <w:rFonts w:cs="Arial"/>
        </w:rPr>
      </w:pPr>
      <w:r w:rsidRPr="00392E0D">
        <w:rPr>
          <w:rFonts w:cs="Arial"/>
        </w:rPr>
        <w:t xml:space="preserve">The AEDC National Committee was established to guide the national implementation of the AEDC program and to assist the </w:t>
      </w:r>
      <w:proofErr w:type="spellStart"/>
      <w:r w:rsidRPr="00392E0D">
        <w:rPr>
          <w:rFonts w:cs="Arial"/>
        </w:rPr>
        <w:t>realisation</w:t>
      </w:r>
      <w:proofErr w:type="spellEnd"/>
      <w:r w:rsidRPr="00392E0D">
        <w:rPr>
          <w:rFonts w:cs="Arial"/>
        </w:rPr>
        <w:t xml:space="preserve"> of the potential value of the AEDC to contribute</w:t>
      </w:r>
      <w:r w:rsidR="003508D6">
        <w:rPr>
          <w:rFonts w:cs="Arial"/>
        </w:rPr>
        <w:t xml:space="preserve"> </w:t>
      </w:r>
      <w:r w:rsidRPr="00392E0D">
        <w:rPr>
          <w:rFonts w:cs="Arial"/>
        </w:rPr>
        <w:t>to improved early childhood outcomes. The Committee contributes to strategic thinking about the implementation, use of the findings and the future of the AEDC program. The AEDC National Committee is responsible for managing the list of AEDC Research Priorities and reviewing the list, at a minimum, on an annual basis.</w:t>
      </w:r>
    </w:p>
    <w:p w14:paraId="13227CDE" w14:textId="77777777" w:rsidR="008D020D" w:rsidRPr="00392E0D" w:rsidRDefault="008D020D" w:rsidP="00EF72E3">
      <w:pPr>
        <w:pStyle w:val="Heading2"/>
        <w:rPr>
          <w:rFonts w:cs="Arial"/>
        </w:rPr>
      </w:pPr>
      <w:r w:rsidRPr="00392E0D">
        <w:rPr>
          <w:rFonts w:cs="Arial"/>
        </w:rPr>
        <w:t>Australian Early Development Census (AEDC)</w:t>
      </w:r>
    </w:p>
    <w:p w14:paraId="2D1CFB52" w14:textId="77777777" w:rsidR="008D020D" w:rsidRPr="00392E0D" w:rsidRDefault="008D020D" w:rsidP="008D020D">
      <w:pPr>
        <w:pStyle w:val="Body"/>
        <w:rPr>
          <w:rFonts w:cs="Arial"/>
        </w:rPr>
      </w:pPr>
      <w:r w:rsidRPr="00392E0D">
        <w:rPr>
          <w:rFonts w:cs="Arial"/>
        </w:rPr>
        <w:t>A population measure of young children’s development based on a teacher completed Instrument across five developmental domains (AEDC domains). Prior to 1 July 2014, the AEDC was known as the Australian Early Development Index (AEDI).</w:t>
      </w:r>
    </w:p>
    <w:p w14:paraId="05D0805E" w14:textId="659BA2B8" w:rsidR="008D020D" w:rsidRPr="00392E0D" w:rsidRDefault="008D020D" w:rsidP="00EF72E3">
      <w:pPr>
        <w:pStyle w:val="Heading2"/>
        <w:rPr>
          <w:rFonts w:cs="Arial"/>
        </w:rPr>
      </w:pPr>
      <w:r w:rsidRPr="00392E0D">
        <w:rPr>
          <w:rFonts w:cs="Arial"/>
        </w:rPr>
        <w:t>Australian version of the</w:t>
      </w:r>
      <w:r w:rsidR="00EF72E3" w:rsidRPr="00392E0D">
        <w:rPr>
          <w:rFonts w:cs="Arial"/>
        </w:rPr>
        <w:t xml:space="preserve"> </w:t>
      </w:r>
      <w:r w:rsidRPr="00392E0D">
        <w:rPr>
          <w:rFonts w:cs="Arial"/>
        </w:rPr>
        <w:t>Early Development Instrument</w:t>
      </w:r>
    </w:p>
    <w:p w14:paraId="6BED5C2D" w14:textId="0659A5DA" w:rsidR="008D020D" w:rsidRPr="00392E0D" w:rsidRDefault="008D020D" w:rsidP="008D020D">
      <w:pPr>
        <w:pStyle w:val="Body"/>
        <w:rPr>
          <w:rFonts w:cs="Arial"/>
        </w:rPr>
      </w:pPr>
      <w:r w:rsidRPr="00392E0D">
        <w:rPr>
          <w:rFonts w:cs="Arial"/>
        </w:rPr>
        <w:t>The Early Development Instrument which has been adapted for use in Australia is a teacher-completed Instrument that consists of approximately 100 questions measuring the five developmental domains. To ensure teacher judgement is moderated across</w:t>
      </w:r>
      <w:r w:rsidR="00EF72E3" w:rsidRPr="00392E0D">
        <w:rPr>
          <w:rFonts w:cs="Arial"/>
        </w:rPr>
        <w:t xml:space="preserve"> </w:t>
      </w:r>
      <w:r w:rsidRPr="00392E0D">
        <w:rPr>
          <w:rFonts w:cs="Arial"/>
        </w:rPr>
        <w:t>Australia, teachers receive online training prior to completing the Instruments.</w:t>
      </w:r>
    </w:p>
    <w:p w14:paraId="7A9519F4" w14:textId="77777777" w:rsidR="008D020D" w:rsidRPr="00392E0D" w:rsidRDefault="008D020D" w:rsidP="00EF72E3">
      <w:pPr>
        <w:pStyle w:val="Heading2"/>
        <w:rPr>
          <w:rFonts w:cs="Arial"/>
        </w:rPr>
      </w:pPr>
      <w:r w:rsidRPr="00392E0D">
        <w:rPr>
          <w:rFonts w:cs="Arial"/>
        </w:rPr>
        <w:t>Closing the Gap</w:t>
      </w:r>
    </w:p>
    <w:p w14:paraId="4511A1B9" w14:textId="77777777" w:rsidR="008D020D" w:rsidRPr="00392E0D" w:rsidRDefault="008D020D" w:rsidP="008D020D">
      <w:pPr>
        <w:pStyle w:val="Body"/>
        <w:rPr>
          <w:rFonts w:cs="Arial"/>
        </w:rPr>
      </w:pPr>
      <w:r w:rsidRPr="00392E0D">
        <w:rPr>
          <w:rFonts w:cs="Arial"/>
        </w:rPr>
        <w:t>Closing the Gap is a strategy that that aims to improve the life outcomes of Aboriginal and Torres Strait Islander people with respect to health and wellbeing, education, employment, justice, safety, housing, land and waters, and languages. It is a formal commitment made by all Australian governments to achieve Aboriginal and Torres Strait Islander health equality.</w:t>
      </w:r>
    </w:p>
    <w:p w14:paraId="75491D0E" w14:textId="77777777" w:rsidR="00EF72E3" w:rsidRPr="00392E0D" w:rsidRDefault="00EF72E3">
      <w:pPr>
        <w:widowControl/>
        <w:autoSpaceDE/>
        <w:autoSpaceDN/>
        <w:rPr>
          <w:rFonts w:ascii="Arial" w:eastAsia="Times New Roman" w:hAnsi="Arial" w:cs="Arial"/>
          <w:sz w:val="21"/>
          <w:szCs w:val="20"/>
        </w:rPr>
      </w:pPr>
      <w:r w:rsidRPr="00392E0D">
        <w:rPr>
          <w:rFonts w:ascii="Arial" w:hAnsi="Arial" w:cs="Arial"/>
        </w:rPr>
        <w:br w:type="page"/>
      </w:r>
    </w:p>
    <w:p w14:paraId="30016AFB" w14:textId="734CD177" w:rsidR="008D020D" w:rsidRPr="00392E0D" w:rsidRDefault="008D020D" w:rsidP="008D020D">
      <w:pPr>
        <w:pStyle w:val="Body"/>
        <w:rPr>
          <w:rFonts w:cs="Arial"/>
        </w:rPr>
      </w:pPr>
      <w:r w:rsidRPr="00392E0D">
        <w:rPr>
          <w:rFonts w:cs="Arial"/>
        </w:rPr>
        <w:lastRenderedPageBreak/>
        <w:t>The National Agreement on Closing the Gap (the National Agreement) has 17 national</w:t>
      </w:r>
      <w:r w:rsidR="00EF72E3" w:rsidRPr="00392E0D">
        <w:rPr>
          <w:rFonts w:cs="Arial"/>
        </w:rPr>
        <w:t xml:space="preserve"> </w:t>
      </w:r>
      <w:r w:rsidRPr="00392E0D">
        <w:rPr>
          <w:rFonts w:cs="Arial"/>
        </w:rPr>
        <w:t>socio-economic targets. Target 4 “Children thrive in their early years” has set a target using AEDC data, that by 2031, the percentage of Aboriginal and Torres Strait Islander children assessed as developmentally on track on five domains will reach 55 per cent.</w:t>
      </w:r>
    </w:p>
    <w:p w14:paraId="72996037" w14:textId="77777777" w:rsidR="00EF72E3" w:rsidRPr="00392E0D" w:rsidRDefault="00EF72E3" w:rsidP="00EF72E3">
      <w:pPr>
        <w:pStyle w:val="Heading2"/>
        <w:rPr>
          <w:rFonts w:cs="Arial"/>
        </w:rPr>
      </w:pPr>
      <w:r w:rsidRPr="00392E0D">
        <w:rPr>
          <w:rFonts w:cs="Arial"/>
        </w:rPr>
        <w:t>Community profiles and maps</w:t>
      </w:r>
    </w:p>
    <w:p w14:paraId="010D24B5" w14:textId="77777777" w:rsidR="00EF72E3" w:rsidRPr="00392E0D" w:rsidRDefault="00EF72E3" w:rsidP="00EF72E3">
      <w:pPr>
        <w:pStyle w:val="Body"/>
        <w:rPr>
          <w:rFonts w:cs="Arial"/>
        </w:rPr>
      </w:pPr>
      <w:r w:rsidRPr="00392E0D">
        <w:rPr>
          <w:rFonts w:cs="Arial"/>
        </w:rPr>
        <w:t xml:space="preserve">All AEDC data collected in a geographic area are collated and </w:t>
      </w:r>
      <w:proofErr w:type="spellStart"/>
      <w:r w:rsidRPr="00392E0D">
        <w:rPr>
          <w:rFonts w:cs="Arial"/>
        </w:rPr>
        <w:t>analysed</w:t>
      </w:r>
      <w:proofErr w:type="spellEnd"/>
      <w:r w:rsidRPr="00392E0D">
        <w:rPr>
          <w:rFonts w:cs="Arial"/>
        </w:rPr>
        <w:t xml:space="preserve"> at the suburb or small area locality (Local Community) of the child. This is reported back to the community through AEDC Community Profiles.</w:t>
      </w:r>
    </w:p>
    <w:p w14:paraId="7045D7A4" w14:textId="77777777" w:rsidR="00EF72E3" w:rsidRPr="00392E0D" w:rsidRDefault="00EF72E3" w:rsidP="00EF72E3">
      <w:pPr>
        <w:pStyle w:val="Body"/>
        <w:rPr>
          <w:rFonts w:cs="Arial"/>
        </w:rPr>
      </w:pPr>
      <w:r w:rsidRPr="00392E0D">
        <w:rPr>
          <w:rFonts w:cs="Arial"/>
        </w:rPr>
        <w:t>The AEDC Community Profiles report the percentage of children on track, developmentally at risk and developmentally vulnerable for each developmental domain.</w:t>
      </w:r>
    </w:p>
    <w:p w14:paraId="2B3CAB7B" w14:textId="77777777" w:rsidR="00EF72E3" w:rsidRPr="00392E0D" w:rsidRDefault="00EF72E3" w:rsidP="00EF72E3">
      <w:pPr>
        <w:pStyle w:val="Heading2"/>
        <w:rPr>
          <w:rFonts w:cs="Arial"/>
        </w:rPr>
      </w:pPr>
      <w:r w:rsidRPr="00392E0D">
        <w:rPr>
          <w:rFonts w:cs="Arial"/>
        </w:rPr>
        <w:t>Control for age variability at school entry</w:t>
      </w:r>
    </w:p>
    <w:p w14:paraId="518B59A9" w14:textId="77777777" w:rsidR="00EF72E3" w:rsidRPr="00392E0D" w:rsidRDefault="00EF72E3" w:rsidP="00EF72E3">
      <w:pPr>
        <w:pStyle w:val="Body"/>
        <w:rPr>
          <w:rFonts w:cs="Arial"/>
        </w:rPr>
      </w:pPr>
      <w:r w:rsidRPr="00392E0D">
        <w:rPr>
          <w:rFonts w:cs="Arial"/>
        </w:rPr>
        <w:t>The ages of children in their first year of full-time school vary.</w:t>
      </w:r>
    </w:p>
    <w:p w14:paraId="69FB8946" w14:textId="77777777" w:rsidR="00EF72E3" w:rsidRPr="00392E0D" w:rsidRDefault="00EF72E3" w:rsidP="00EF72E3">
      <w:pPr>
        <w:pStyle w:val="Body"/>
        <w:rPr>
          <w:rFonts w:cs="Arial"/>
        </w:rPr>
      </w:pPr>
      <w:r w:rsidRPr="00392E0D">
        <w:rPr>
          <w:rFonts w:cs="Arial"/>
        </w:rPr>
        <w:t>As age is a factor contributing to children’s development, the published AEDC results control for age.</w:t>
      </w:r>
    </w:p>
    <w:p w14:paraId="1012FBB5" w14:textId="77777777" w:rsidR="00EF72E3" w:rsidRPr="00392E0D" w:rsidRDefault="00EF72E3" w:rsidP="00EF72E3">
      <w:pPr>
        <w:pStyle w:val="Heading2"/>
        <w:rPr>
          <w:rFonts w:cs="Arial"/>
        </w:rPr>
      </w:pPr>
      <w:r w:rsidRPr="00392E0D">
        <w:rPr>
          <w:rFonts w:cs="Arial"/>
        </w:rPr>
        <w:t>Critical difference</w:t>
      </w:r>
    </w:p>
    <w:p w14:paraId="4CA1BA3D" w14:textId="683D7B16" w:rsidR="00EF72E3" w:rsidRPr="00392E0D" w:rsidRDefault="00EF72E3" w:rsidP="00EF72E3">
      <w:pPr>
        <w:pStyle w:val="Body"/>
        <w:rPr>
          <w:rFonts w:cs="Arial"/>
        </w:rPr>
      </w:pPr>
      <w:r w:rsidRPr="00392E0D">
        <w:rPr>
          <w:rFonts w:cs="Arial"/>
        </w:rPr>
        <w:t xml:space="preserve">The critical difference is the minimum level of change required between any two cycles of AEDC results for the comparative result to be significant. The difference between the percentage of children vulnerable across the cycles is statistically significant if it exceeds the critical difference. For further information see the </w:t>
      </w:r>
      <w:proofErr w:type="gramStart"/>
      <w:r w:rsidRPr="00392E0D">
        <w:rPr>
          <w:rFonts w:cs="Arial"/>
        </w:rPr>
        <w:t>Technical</w:t>
      </w:r>
      <w:proofErr w:type="gramEnd"/>
      <w:r w:rsidRPr="00392E0D">
        <w:rPr>
          <w:rFonts w:cs="Arial"/>
        </w:rPr>
        <w:t xml:space="preserve"> report: Calculation of the critical difference (www.aedc.gov.au/trcd).</w:t>
      </w:r>
    </w:p>
    <w:p w14:paraId="0D4A5ED5" w14:textId="77777777" w:rsidR="00EF72E3" w:rsidRPr="00392E0D" w:rsidRDefault="00EF72E3" w:rsidP="00EF72E3">
      <w:pPr>
        <w:pStyle w:val="Heading2"/>
        <w:rPr>
          <w:rFonts w:cs="Arial"/>
        </w:rPr>
      </w:pPr>
      <w:r w:rsidRPr="00392E0D">
        <w:rPr>
          <w:rFonts w:cs="Arial"/>
        </w:rPr>
        <w:t>Developmentally on track on five domains (OT5)</w:t>
      </w:r>
    </w:p>
    <w:p w14:paraId="1078F010" w14:textId="0196887C" w:rsidR="00EF72E3" w:rsidRPr="00392E0D" w:rsidRDefault="00EF72E3" w:rsidP="00EF72E3">
      <w:pPr>
        <w:pStyle w:val="Body"/>
        <w:rPr>
          <w:rFonts w:cs="Arial"/>
        </w:rPr>
      </w:pPr>
      <w:r w:rsidRPr="00392E0D">
        <w:rPr>
          <w:rFonts w:cs="Arial"/>
        </w:rPr>
        <w:t>The percentage of children who are developmentally on track on five AEDC domains. Developmentally vulnerable on five domains (OT5) is part of the summary indicators (See ‘Summary indicators’ definition). This was first introduced as a national AEDC summary indicator in 2021.</w:t>
      </w:r>
    </w:p>
    <w:p w14:paraId="47586F6D" w14:textId="7228E8F9" w:rsidR="00EF72E3" w:rsidRPr="00392E0D" w:rsidRDefault="00EF72E3" w:rsidP="00EF72E3">
      <w:pPr>
        <w:pStyle w:val="Heading2"/>
        <w:rPr>
          <w:rFonts w:cs="Arial"/>
        </w:rPr>
      </w:pPr>
      <w:r w:rsidRPr="00392E0D">
        <w:rPr>
          <w:rFonts w:cs="Arial"/>
        </w:rPr>
        <w:t>Developmentally vulnerable on one or more domain(s) (DV1)</w:t>
      </w:r>
    </w:p>
    <w:p w14:paraId="26B77A32" w14:textId="77777777" w:rsidR="00EF72E3" w:rsidRPr="00392E0D" w:rsidRDefault="00EF72E3" w:rsidP="00EF72E3">
      <w:pPr>
        <w:pStyle w:val="Body"/>
        <w:rPr>
          <w:rFonts w:cs="Arial"/>
        </w:rPr>
      </w:pPr>
      <w:r w:rsidRPr="00392E0D">
        <w:rPr>
          <w:rFonts w:cs="Arial"/>
        </w:rPr>
        <w:t>The percentage of children who are classified as developmentally vulnerable on one or more AEDC domain(s). Developmentally vulnerable on one or more domain(s) (Vuln 1) are part of the Summary Indicators (See ‘Summary indicators’ definition).</w:t>
      </w:r>
    </w:p>
    <w:p w14:paraId="568526D6" w14:textId="77777777" w:rsidR="00EF72E3" w:rsidRPr="00392E0D" w:rsidRDefault="00EF72E3" w:rsidP="00EF72E3">
      <w:pPr>
        <w:pStyle w:val="Heading2"/>
        <w:rPr>
          <w:rFonts w:cs="Arial"/>
        </w:rPr>
      </w:pPr>
      <w:r w:rsidRPr="00392E0D">
        <w:rPr>
          <w:rFonts w:cs="Arial"/>
        </w:rPr>
        <w:t>Developmentally vulnerable on two or more domains (DV2)</w:t>
      </w:r>
    </w:p>
    <w:p w14:paraId="4D2FD17C" w14:textId="77777777" w:rsidR="00EF72E3" w:rsidRPr="00392E0D" w:rsidRDefault="00EF72E3" w:rsidP="00EF72E3">
      <w:pPr>
        <w:pStyle w:val="Body"/>
        <w:rPr>
          <w:rFonts w:cs="Arial"/>
        </w:rPr>
      </w:pPr>
      <w:r w:rsidRPr="00392E0D">
        <w:rPr>
          <w:rFonts w:cs="Arial"/>
        </w:rPr>
        <w:t>The percentage of children who are classified as developmentally vulnerable on two or more AEDC domains. Developmentally vulnerable on two or more domains (Vuln 2) are part of the summary indicators (See ‘Summary indicators’ definition).</w:t>
      </w:r>
    </w:p>
    <w:p w14:paraId="753936FB" w14:textId="77777777" w:rsidR="00EF72E3" w:rsidRPr="00392E0D" w:rsidRDefault="00EF72E3" w:rsidP="00EF72E3">
      <w:pPr>
        <w:pStyle w:val="Heading2"/>
        <w:rPr>
          <w:rFonts w:cs="Arial"/>
        </w:rPr>
      </w:pPr>
      <w:r w:rsidRPr="00392E0D">
        <w:rPr>
          <w:rFonts w:cs="Arial"/>
        </w:rPr>
        <w:t>Early Development Instrument</w:t>
      </w:r>
    </w:p>
    <w:p w14:paraId="2EFF3432" w14:textId="77777777" w:rsidR="00EF72E3" w:rsidRPr="00392E0D" w:rsidRDefault="00EF72E3" w:rsidP="00EF72E3">
      <w:pPr>
        <w:pStyle w:val="Body"/>
        <w:rPr>
          <w:rFonts w:cs="Arial"/>
        </w:rPr>
      </w:pPr>
      <w:r w:rsidRPr="00392E0D">
        <w:rPr>
          <w:rFonts w:cs="Arial"/>
        </w:rPr>
        <w:t>The Early Development Instrument (EDI) was developed in Canada to measure the developmental health and wellbeing of populations of young children. An Australian adapted version of the EDI is the teacher completed instrument used in the AEDC program, (see the ‘Australian version of the Early Development Instrument’).</w:t>
      </w:r>
    </w:p>
    <w:p w14:paraId="0E8A6EFA" w14:textId="77777777" w:rsidR="00EF72E3" w:rsidRPr="00392E0D" w:rsidRDefault="00EF72E3" w:rsidP="00EF72E3">
      <w:pPr>
        <w:pStyle w:val="Body"/>
        <w:rPr>
          <w:rFonts w:cs="Arial"/>
        </w:rPr>
      </w:pPr>
      <w:r w:rsidRPr="00392E0D">
        <w:rPr>
          <w:rFonts w:cs="Arial"/>
        </w:rPr>
        <w:t>English as a Second Language (ESL)</w:t>
      </w:r>
    </w:p>
    <w:p w14:paraId="6FD012F5" w14:textId="77777777" w:rsidR="00EF72E3" w:rsidRPr="00392E0D" w:rsidRDefault="00EF72E3" w:rsidP="00EF72E3">
      <w:pPr>
        <w:pStyle w:val="Body"/>
        <w:rPr>
          <w:rFonts w:cs="Arial"/>
        </w:rPr>
      </w:pPr>
      <w:r w:rsidRPr="00392E0D">
        <w:rPr>
          <w:rFonts w:cs="Arial"/>
        </w:rPr>
        <w:t xml:space="preserve">Children are considered to have ESL status where English is not their first language and they need additional instruction in English; or where English is not their first language, they have conversational </w:t>
      </w:r>
      <w:proofErr w:type="gramStart"/>
      <w:r w:rsidRPr="00392E0D">
        <w:rPr>
          <w:rFonts w:cs="Arial"/>
        </w:rPr>
        <w:t>English, but</w:t>
      </w:r>
      <w:proofErr w:type="gramEnd"/>
      <w:r w:rsidRPr="00392E0D">
        <w:rPr>
          <w:rFonts w:cs="Arial"/>
        </w:rPr>
        <w:t xml:space="preserve"> are not yet proficient in English.</w:t>
      </w:r>
    </w:p>
    <w:p w14:paraId="2FD46402" w14:textId="77777777" w:rsidR="00EF72E3" w:rsidRPr="00392E0D" w:rsidRDefault="00EF72E3" w:rsidP="00EF72E3">
      <w:pPr>
        <w:pStyle w:val="Heading2"/>
        <w:rPr>
          <w:rFonts w:cs="Arial"/>
        </w:rPr>
      </w:pPr>
      <w:r w:rsidRPr="00392E0D">
        <w:rPr>
          <w:rFonts w:cs="Arial"/>
        </w:rPr>
        <w:t>Further assessment</w:t>
      </w:r>
    </w:p>
    <w:p w14:paraId="020D78FF" w14:textId="77777777" w:rsidR="00EF72E3" w:rsidRPr="00392E0D" w:rsidRDefault="00EF72E3" w:rsidP="00EF72E3">
      <w:pPr>
        <w:pStyle w:val="Body"/>
        <w:rPr>
          <w:rFonts w:cs="Arial"/>
        </w:rPr>
      </w:pPr>
      <w:r w:rsidRPr="00392E0D">
        <w:rPr>
          <w:rFonts w:cs="Arial"/>
        </w:rPr>
        <w:t>An item in the AvEDI to identify if the teacher feels the child needs further assessment.</w:t>
      </w:r>
    </w:p>
    <w:p w14:paraId="214F2606" w14:textId="77777777" w:rsidR="00EF72E3" w:rsidRPr="00392E0D" w:rsidRDefault="00EF72E3" w:rsidP="00EF72E3">
      <w:pPr>
        <w:pStyle w:val="Heading2"/>
        <w:rPr>
          <w:rFonts w:cs="Arial"/>
        </w:rPr>
      </w:pPr>
      <w:r w:rsidRPr="00392E0D">
        <w:rPr>
          <w:rFonts w:cs="Arial"/>
        </w:rPr>
        <w:t>Language background other than English (</w:t>
      </w:r>
      <w:proofErr w:type="spellStart"/>
      <w:r w:rsidRPr="00392E0D">
        <w:rPr>
          <w:rFonts w:cs="Arial"/>
        </w:rPr>
        <w:t>LBOTE</w:t>
      </w:r>
      <w:proofErr w:type="spellEnd"/>
      <w:r w:rsidRPr="00392E0D">
        <w:rPr>
          <w:rFonts w:cs="Arial"/>
        </w:rPr>
        <w:t>)</w:t>
      </w:r>
    </w:p>
    <w:p w14:paraId="650CBE76" w14:textId="1E5E6E00" w:rsidR="00EF72E3" w:rsidRPr="00392E0D" w:rsidRDefault="00EF72E3" w:rsidP="00EF72E3">
      <w:pPr>
        <w:pStyle w:val="Body"/>
        <w:rPr>
          <w:rFonts w:cs="Arial"/>
        </w:rPr>
      </w:pPr>
      <w:r w:rsidRPr="00392E0D">
        <w:rPr>
          <w:rFonts w:cs="Arial"/>
        </w:rPr>
        <w:t>Children are considered ‘</w:t>
      </w:r>
      <w:proofErr w:type="spellStart"/>
      <w:r w:rsidRPr="00392E0D">
        <w:rPr>
          <w:rFonts w:cs="Arial"/>
        </w:rPr>
        <w:t>LBOTE</w:t>
      </w:r>
      <w:proofErr w:type="spellEnd"/>
      <w:r w:rsidRPr="00392E0D">
        <w:rPr>
          <w:rFonts w:cs="Arial"/>
        </w:rPr>
        <w:t>’ if they speak a language other than English at home, or if they speak English at home but are still considered to have ESL status.</w:t>
      </w:r>
    </w:p>
    <w:p w14:paraId="418CCDA8" w14:textId="77777777" w:rsidR="00385531" w:rsidRPr="00392E0D" w:rsidRDefault="00385531">
      <w:pPr>
        <w:widowControl/>
        <w:autoSpaceDE/>
        <w:autoSpaceDN/>
        <w:rPr>
          <w:rFonts w:ascii="Arial" w:eastAsia="Times New Roman" w:hAnsi="Arial" w:cs="Arial"/>
          <w:sz w:val="21"/>
          <w:szCs w:val="20"/>
        </w:rPr>
      </w:pPr>
      <w:r w:rsidRPr="00392E0D">
        <w:rPr>
          <w:rFonts w:ascii="Arial" w:hAnsi="Arial" w:cs="Arial"/>
        </w:rPr>
        <w:br w:type="page"/>
      </w:r>
    </w:p>
    <w:p w14:paraId="75EB5D09" w14:textId="1CCA3251" w:rsidR="00EF72E3" w:rsidRPr="00392E0D" w:rsidRDefault="009F73E4" w:rsidP="00EF72E3">
      <w:pPr>
        <w:pStyle w:val="Body"/>
        <w:rPr>
          <w:rFonts w:cs="Arial"/>
        </w:rPr>
      </w:pPr>
      <w:r>
        <w:rPr>
          <w:rFonts w:cs="Arial"/>
        </w:rPr>
        <w:lastRenderedPageBreak/>
        <w:t>Aboriginal and Torres Strait Islander</w:t>
      </w:r>
      <w:r w:rsidR="00EF72E3" w:rsidRPr="00392E0D">
        <w:rPr>
          <w:rFonts w:cs="Arial"/>
        </w:rPr>
        <w:t xml:space="preserve"> children who have </w:t>
      </w:r>
      <w:proofErr w:type="spellStart"/>
      <w:r w:rsidR="00EF72E3" w:rsidRPr="00392E0D">
        <w:rPr>
          <w:rFonts w:cs="Arial"/>
        </w:rPr>
        <w:t>LBOTE</w:t>
      </w:r>
      <w:proofErr w:type="spellEnd"/>
      <w:r w:rsidR="00EF72E3" w:rsidRPr="00392E0D">
        <w:rPr>
          <w:rFonts w:cs="Arial"/>
        </w:rPr>
        <w:t xml:space="preserve"> status are part of the </w:t>
      </w:r>
      <w:proofErr w:type="spellStart"/>
      <w:r w:rsidR="00EF72E3" w:rsidRPr="00392E0D">
        <w:rPr>
          <w:rFonts w:cs="Arial"/>
        </w:rPr>
        <w:t>LBOTE</w:t>
      </w:r>
      <w:proofErr w:type="spellEnd"/>
      <w:r w:rsidR="00EF72E3" w:rsidRPr="00392E0D">
        <w:rPr>
          <w:rFonts w:cs="Arial"/>
        </w:rPr>
        <w:t xml:space="preserve"> group. For example, it is possible for children to be both </w:t>
      </w:r>
      <w:r>
        <w:rPr>
          <w:rFonts w:cs="Arial"/>
        </w:rPr>
        <w:t>Aboriginal and Torres Strait Islander</w:t>
      </w:r>
      <w:r w:rsidR="00EF72E3" w:rsidRPr="00392E0D">
        <w:rPr>
          <w:rFonts w:cs="Arial"/>
        </w:rPr>
        <w:t xml:space="preserve"> and have </w:t>
      </w:r>
      <w:proofErr w:type="spellStart"/>
      <w:r w:rsidR="00EF72E3" w:rsidRPr="00392E0D">
        <w:rPr>
          <w:rFonts w:cs="Arial"/>
        </w:rPr>
        <w:t>LBOTE</w:t>
      </w:r>
      <w:proofErr w:type="spellEnd"/>
      <w:r w:rsidR="00EF72E3" w:rsidRPr="00392E0D">
        <w:rPr>
          <w:rFonts w:cs="Arial"/>
        </w:rPr>
        <w:t xml:space="preserve"> status.</w:t>
      </w:r>
    </w:p>
    <w:p w14:paraId="4ACCE70D" w14:textId="77777777" w:rsidR="00EF72E3" w:rsidRPr="00392E0D" w:rsidRDefault="00EF72E3" w:rsidP="00385531">
      <w:pPr>
        <w:pStyle w:val="Heading2"/>
        <w:rPr>
          <w:rFonts w:cs="Arial"/>
        </w:rPr>
      </w:pPr>
      <w:r w:rsidRPr="00392E0D">
        <w:rPr>
          <w:rFonts w:cs="Arial"/>
        </w:rPr>
        <w:t>Local community</w:t>
      </w:r>
    </w:p>
    <w:p w14:paraId="7D81721C" w14:textId="255E9088" w:rsidR="00EF72E3" w:rsidRPr="00392E0D" w:rsidRDefault="00EF72E3" w:rsidP="00EF72E3">
      <w:pPr>
        <w:pStyle w:val="Body"/>
        <w:rPr>
          <w:rFonts w:cs="Arial"/>
        </w:rPr>
      </w:pPr>
      <w:r w:rsidRPr="00392E0D">
        <w:rPr>
          <w:rFonts w:cs="Arial"/>
        </w:rPr>
        <w:t>A small area locality, usually representing a suburb or town. For its results to be reported, a local community must have a minimum of 15 children and two teachers. Results are not</w:t>
      </w:r>
      <w:r w:rsidR="00385531" w:rsidRPr="00392E0D">
        <w:rPr>
          <w:rFonts w:cs="Arial"/>
        </w:rPr>
        <w:t xml:space="preserve"> </w:t>
      </w:r>
      <w:r w:rsidRPr="00392E0D">
        <w:rPr>
          <w:rFonts w:cs="Arial"/>
        </w:rPr>
        <w:t>reported if more than 20 per cent of children are identified as children with special needs.</w:t>
      </w:r>
    </w:p>
    <w:p w14:paraId="257958BC" w14:textId="77777777" w:rsidR="00EF72E3" w:rsidRPr="00392E0D" w:rsidRDefault="00EF72E3" w:rsidP="00385531">
      <w:pPr>
        <w:pStyle w:val="Heading2"/>
        <w:rPr>
          <w:rFonts w:cs="Arial"/>
        </w:rPr>
      </w:pPr>
      <w:r w:rsidRPr="00392E0D">
        <w:rPr>
          <w:rFonts w:cs="Arial"/>
        </w:rPr>
        <w:t>National Quality Framework (</w:t>
      </w:r>
      <w:proofErr w:type="spellStart"/>
      <w:r w:rsidRPr="00392E0D">
        <w:rPr>
          <w:rFonts w:cs="Arial"/>
        </w:rPr>
        <w:t>NQF</w:t>
      </w:r>
      <w:proofErr w:type="spellEnd"/>
      <w:r w:rsidRPr="00392E0D">
        <w:rPr>
          <w:rFonts w:cs="Arial"/>
        </w:rPr>
        <w:t>)</w:t>
      </w:r>
    </w:p>
    <w:p w14:paraId="3B4DDAB2" w14:textId="77777777" w:rsidR="00EF72E3" w:rsidRPr="00392E0D" w:rsidRDefault="00EF72E3" w:rsidP="00EF72E3">
      <w:pPr>
        <w:pStyle w:val="Body"/>
        <w:rPr>
          <w:rFonts w:cs="Arial"/>
        </w:rPr>
      </w:pPr>
      <w:r w:rsidRPr="00392E0D">
        <w:rPr>
          <w:rFonts w:cs="Arial"/>
        </w:rPr>
        <w:t xml:space="preserve">The National Quality Framework for Early Childhood Education and Care is a national system for the regulation and quality assessment of </w:t>
      </w:r>
      <w:proofErr w:type="gramStart"/>
      <w:r w:rsidRPr="00392E0D">
        <w:rPr>
          <w:rFonts w:cs="Arial"/>
        </w:rPr>
        <w:t>child care</w:t>
      </w:r>
      <w:proofErr w:type="gramEnd"/>
      <w:r w:rsidRPr="00392E0D">
        <w:rPr>
          <w:rFonts w:cs="Arial"/>
        </w:rPr>
        <w:t xml:space="preserve"> and early learning services.</w:t>
      </w:r>
    </w:p>
    <w:p w14:paraId="05B44713" w14:textId="77777777" w:rsidR="00EF72E3" w:rsidRPr="00392E0D" w:rsidRDefault="00EF72E3" w:rsidP="00385531">
      <w:pPr>
        <w:pStyle w:val="Heading2"/>
        <w:rPr>
          <w:rFonts w:cs="Arial"/>
        </w:rPr>
      </w:pPr>
      <w:r w:rsidRPr="00392E0D">
        <w:rPr>
          <w:rFonts w:cs="Arial"/>
        </w:rPr>
        <w:t>Population of children enrolled to begin school</w:t>
      </w:r>
    </w:p>
    <w:p w14:paraId="70175A5F" w14:textId="77777777" w:rsidR="00EF72E3" w:rsidRPr="00392E0D" w:rsidRDefault="00EF72E3" w:rsidP="00EF72E3">
      <w:pPr>
        <w:pStyle w:val="Body"/>
        <w:rPr>
          <w:rFonts w:cs="Arial"/>
        </w:rPr>
      </w:pPr>
      <w:r w:rsidRPr="00392E0D">
        <w:rPr>
          <w:rFonts w:cs="Arial"/>
        </w:rPr>
        <w:t>The population of Australian children enrolled to begin their first year of full-time school is data provided by the School Census, inclusive of government, Catholic and Independent schools across Australia.</w:t>
      </w:r>
    </w:p>
    <w:p w14:paraId="57CB0058" w14:textId="2FAA6C97" w:rsidR="00EF72E3" w:rsidRPr="00392E0D" w:rsidRDefault="00EF72E3" w:rsidP="00EF72E3">
      <w:pPr>
        <w:pStyle w:val="Body"/>
        <w:rPr>
          <w:rFonts w:cs="Arial"/>
        </w:rPr>
      </w:pPr>
      <w:r w:rsidRPr="00392E0D">
        <w:rPr>
          <w:rFonts w:cs="Arial"/>
        </w:rPr>
        <w:t>This number is used to determine the extent to which the AEDC is reflective of the entire</w:t>
      </w:r>
      <w:r w:rsidR="00385531" w:rsidRPr="00392E0D">
        <w:rPr>
          <w:rFonts w:cs="Arial"/>
        </w:rPr>
        <w:t xml:space="preserve"> </w:t>
      </w:r>
      <w:r w:rsidRPr="00392E0D">
        <w:rPr>
          <w:rFonts w:cs="Arial"/>
        </w:rPr>
        <w:t xml:space="preserve">population of Australian children starting school in any </w:t>
      </w:r>
      <w:proofErr w:type="gramStart"/>
      <w:r w:rsidRPr="00392E0D">
        <w:rPr>
          <w:rFonts w:cs="Arial"/>
        </w:rPr>
        <w:t>particular AEDC</w:t>
      </w:r>
      <w:proofErr w:type="gramEnd"/>
      <w:r w:rsidRPr="00392E0D">
        <w:rPr>
          <w:rFonts w:cs="Arial"/>
        </w:rPr>
        <w:t xml:space="preserve"> collection year.</w:t>
      </w:r>
    </w:p>
    <w:p w14:paraId="22A42A78" w14:textId="77777777" w:rsidR="00EF72E3" w:rsidRPr="00392E0D" w:rsidRDefault="00EF72E3" w:rsidP="00385531">
      <w:pPr>
        <w:pStyle w:val="Heading2"/>
        <w:rPr>
          <w:rFonts w:cs="Arial"/>
        </w:rPr>
      </w:pPr>
      <w:r w:rsidRPr="00392E0D">
        <w:rPr>
          <w:rFonts w:cs="Arial"/>
        </w:rPr>
        <w:t>Proficient in English</w:t>
      </w:r>
    </w:p>
    <w:p w14:paraId="0EFE15A3" w14:textId="77777777" w:rsidR="00EF72E3" w:rsidRPr="00392E0D" w:rsidRDefault="00EF72E3" w:rsidP="00EF72E3">
      <w:pPr>
        <w:pStyle w:val="Body"/>
        <w:rPr>
          <w:rFonts w:cs="Arial"/>
        </w:rPr>
      </w:pPr>
      <w:r w:rsidRPr="00392E0D">
        <w:rPr>
          <w:rFonts w:cs="Arial"/>
        </w:rPr>
        <w:t>Proficient in English refers to what is expected of the average monolingual English speaker in a similar phase of development. For the AEDC, children are considered proficient in English if teachers answered “average” or “good/very good” to the Australian version of the Early Development Instrument question: “How would you rate this child’s ability to use language effectively in English?”</w:t>
      </w:r>
    </w:p>
    <w:p w14:paraId="02D8F8A8" w14:textId="0B3938CB" w:rsidR="00EF72E3" w:rsidRPr="00392E0D" w:rsidRDefault="00EF72E3" w:rsidP="00EF72E3">
      <w:pPr>
        <w:pStyle w:val="Body"/>
        <w:rPr>
          <w:rFonts w:cs="Arial"/>
        </w:rPr>
      </w:pPr>
      <w:r w:rsidRPr="00392E0D">
        <w:rPr>
          <w:rFonts w:cs="Arial"/>
        </w:rPr>
        <w:t>This question refers to the child’s use of the appropriate words and expressions at appropriate times, as well as the child’s</w:t>
      </w:r>
      <w:r w:rsidR="00385531" w:rsidRPr="00392E0D">
        <w:rPr>
          <w:rFonts w:cs="Arial"/>
        </w:rPr>
        <w:t xml:space="preserve"> </w:t>
      </w:r>
      <w:r w:rsidRPr="00392E0D">
        <w:rPr>
          <w:rFonts w:cs="Arial"/>
        </w:rPr>
        <w:t>contribution to conversations. Effective use is defined as “use sufficient to convey the desired message”. Only basic grammatical concepts need to be adhered to, so long as the meaning is clear. Teachers were asked specifically to consider English language skills.</w:t>
      </w:r>
    </w:p>
    <w:p w14:paraId="077EE878" w14:textId="77777777" w:rsidR="00EF72E3" w:rsidRPr="00392E0D" w:rsidRDefault="00EF72E3" w:rsidP="00385531">
      <w:pPr>
        <w:pStyle w:val="Heading2"/>
        <w:rPr>
          <w:rFonts w:cs="Arial"/>
        </w:rPr>
      </w:pPr>
      <w:r w:rsidRPr="00392E0D">
        <w:rPr>
          <w:rFonts w:cs="Arial"/>
        </w:rPr>
        <w:t>Quintiles</w:t>
      </w:r>
    </w:p>
    <w:p w14:paraId="2AA8FC04" w14:textId="77777777" w:rsidR="00EF72E3" w:rsidRPr="00392E0D" w:rsidRDefault="00EF72E3" w:rsidP="00EF72E3">
      <w:pPr>
        <w:pStyle w:val="Body"/>
        <w:rPr>
          <w:rFonts w:cs="Arial"/>
        </w:rPr>
      </w:pPr>
      <w:r w:rsidRPr="00392E0D">
        <w:rPr>
          <w:rFonts w:cs="Arial"/>
        </w:rPr>
        <w:t>Quintiles are used for the Socio-Economic Indexes for Areas (</w:t>
      </w:r>
      <w:proofErr w:type="spellStart"/>
      <w:r w:rsidRPr="00392E0D">
        <w:rPr>
          <w:rFonts w:cs="Arial"/>
        </w:rPr>
        <w:t>SEIFA</w:t>
      </w:r>
      <w:proofErr w:type="spellEnd"/>
      <w:r w:rsidRPr="00392E0D">
        <w:rPr>
          <w:rFonts w:cs="Arial"/>
        </w:rPr>
        <w:t xml:space="preserve">) (see definition for </w:t>
      </w:r>
      <w:proofErr w:type="spellStart"/>
      <w:r w:rsidRPr="00392E0D">
        <w:rPr>
          <w:rFonts w:cs="Arial"/>
        </w:rPr>
        <w:t>SEIFA</w:t>
      </w:r>
      <w:proofErr w:type="spellEnd"/>
      <w:r w:rsidRPr="00392E0D">
        <w:rPr>
          <w:rFonts w:cs="Arial"/>
        </w:rPr>
        <w:t>). The lowest quintile (Quintile 1) represents the most socio-economically disadvantaged areas; the highest quintile (Quintile 5) represents the least socio-economically disadvantaged areas.</w:t>
      </w:r>
    </w:p>
    <w:p w14:paraId="317C20CB" w14:textId="77777777" w:rsidR="00EF72E3" w:rsidRPr="00392E0D" w:rsidRDefault="00EF72E3" w:rsidP="00385531">
      <w:pPr>
        <w:pStyle w:val="Heading2"/>
        <w:rPr>
          <w:rFonts w:cs="Arial"/>
        </w:rPr>
      </w:pPr>
      <w:r w:rsidRPr="00392E0D">
        <w:rPr>
          <w:rFonts w:cs="Arial"/>
        </w:rPr>
        <w:t>Remoteness Areas</w:t>
      </w:r>
    </w:p>
    <w:p w14:paraId="0202CC57" w14:textId="4C4D8913" w:rsidR="00EF72E3" w:rsidRPr="00392E0D" w:rsidRDefault="00EF72E3" w:rsidP="00EF72E3">
      <w:pPr>
        <w:pStyle w:val="Body"/>
        <w:rPr>
          <w:rFonts w:cs="Arial"/>
        </w:rPr>
      </w:pPr>
      <w:r w:rsidRPr="00392E0D">
        <w:rPr>
          <w:rFonts w:cs="Arial"/>
        </w:rPr>
        <w:t>Geographic location for the AEDC is based on the Australian Statistical Geographical Standard (</w:t>
      </w:r>
      <w:proofErr w:type="spellStart"/>
      <w:r w:rsidRPr="00392E0D">
        <w:rPr>
          <w:rFonts w:cs="Arial"/>
        </w:rPr>
        <w:t>ASGS</w:t>
      </w:r>
      <w:proofErr w:type="spellEnd"/>
      <w:r w:rsidRPr="00392E0D">
        <w:rPr>
          <w:rFonts w:cs="Arial"/>
        </w:rPr>
        <w:t xml:space="preserve">) Remoteness Areas, developed by the Australian Bureau of Statistics (ABS) to classify places of remoteness. The current version of the AEDC geography is based off the 2021 </w:t>
      </w:r>
      <w:proofErr w:type="spellStart"/>
      <w:r w:rsidRPr="00392E0D">
        <w:rPr>
          <w:rFonts w:cs="Arial"/>
        </w:rPr>
        <w:t>ASGS</w:t>
      </w:r>
      <w:proofErr w:type="spellEnd"/>
      <w:r w:rsidRPr="00392E0D">
        <w:rPr>
          <w:rFonts w:cs="Arial"/>
        </w:rPr>
        <w:t xml:space="preserve"> and has been applied retrospectively to all years of data collection. Geographical areas are given a score based on the road distance to service towns of different sizes. Scores for regions are derived by averaging scores from a one square kilomete</w:t>
      </w:r>
      <w:r w:rsidR="00385531" w:rsidRPr="00392E0D">
        <w:rPr>
          <w:rFonts w:cs="Arial"/>
        </w:rPr>
        <w:t>r</w:t>
      </w:r>
      <w:r w:rsidRPr="00392E0D">
        <w:rPr>
          <w:rFonts w:cs="Arial"/>
        </w:rPr>
        <w:t xml:space="preserve"> grid.</w:t>
      </w:r>
    </w:p>
    <w:p w14:paraId="4065C8BF" w14:textId="77777777" w:rsidR="00EF72E3" w:rsidRPr="00392E0D" w:rsidRDefault="00EF72E3" w:rsidP="00EF72E3">
      <w:pPr>
        <w:pStyle w:val="Body"/>
        <w:rPr>
          <w:rFonts w:cs="Arial"/>
        </w:rPr>
      </w:pPr>
      <w:r w:rsidRPr="00392E0D">
        <w:rPr>
          <w:rFonts w:cs="Arial"/>
        </w:rPr>
        <w:t>The five Remoteness Areas are:</w:t>
      </w:r>
    </w:p>
    <w:p w14:paraId="1BD32880" w14:textId="2203C90F" w:rsidR="00EF72E3" w:rsidRPr="00392E0D" w:rsidRDefault="00EF72E3" w:rsidP="00385531">
      <w:pPr>
        <w:pStyle w:val="Bullets1"/>
        <w:rPr>
          <w:rFonts w:cs="Arial"/>
        </w:rPr>
      </w:pPr>
      <w:r w:rsidRPr="00392E0D">
        <w:rPr>
          <w:rFonts w:cs="Arial"/>
        </w:rPr>
        <w:t>Major Cities – relatively unrestricted accessibility to a wide range of goods and services and opportunities for social interaction.</w:t>
      </w:r>
    </w:p>
    <w:p w14:paraId="0EC56A34" w14:textId="2365DD0B" w:rsidR="00EF72E3" w:rsidRPr="00392E0D" w:rsidRDefault="00EF72E3" w:rsidP="00385531">
      <w:pPr>
        <w:pStyle w:val="Bullets1"/>
        <w:rPr>
          <w:rFonts w:cs="Arial"/>
        </w:rPr>
      </w:pPr>
      <w:r w:rsidRPr="00392E0D">
        <w:rPr>
          <w:rFonts w:cs="Arial"/>
        </w:rPr>
        <w:t>Inner Regional – some restrictions to accessibility of some goods, services and opportunities for social interaction.</w:t>
      </w:r>
    </w:p>
    <w:p w14:paraId="46880D1B" w14:textId="72CB8C55" w:rsidR="00EF72E3" w:rsidRPr="00392E0D" w:rsidRDefault="00EF72E3" w:rsidP="00385531">
      <w:pPr>
        <w:pStyle w:val="Bullets1"/>
        <w:rPr>
          <w:rFonts w:cs="Arial"/>
        </w:rPr>
      </w:pPr>
      <w:r w:rsidRPr="00392E0D">
        <w:rPr>
          <w:rFonts w:cs="Arial"/>
        </w:rPr>
        <w:t>Outer Regional – significantly restricted accessibility of goods, services and opportunities for social interaction.</w:t>
      </w:r>
    </w:p>
    <w:p w14:paraId="6C6B91D5" w14:textId="21261211" w:rsidR="00EF72E3" w:rsidRPr="00392E0D" w:rsidRDefault="00EF72E3" w:rsidP="00385531">
      <w:pPr>
        <w:pStyle w:val="Bullets1"/>
        <w:rPr>
          <w:rFonts w:cs="Arial"/>
        </w:rPr>
      </w:pPr>
      <w:r w:rsidRPr="00392E0D">
        <w:rPr>
          <w:rFonts w:cs="Arial"/>
        </w:rPr>
        <w:t>Remote – very restricted accessibility of goods, services and opportunities for social interaction.</w:t>
      </w:r>
    </w:p>
    <w:p w14:paraId="75C68E17" w14:textId="485F41FB" w:rsidR="00EF72E3" w:rsidRPr="00392E0D" w:rsidRDefault="00EF72E3" w:rsidP="00385531">
      <w:pPr>
        <w:pStyle w:val="Bullets1"/>
        <w:rPr>
          <w:rFonts w:cs="Arial"/>
        </w:rPr>
      </w:pPr>
      <w:r w:rsidRPr="00392E0D">
        <w:rPr>
          <w:rFonts w:cs="Arial"/>
        </w:rPr>
        <w:t xml:space="preserve">Very Remote – very little accessibility of goods, services and opportunities for social interaction. </w:t>
      </w:r>
    </w:p>
    <w:p w14:paraId="5F14521D" w14:textId="097307D0" w:rsidR="00385531" w:rsidRPr="00392E0D" w:rsidRDefault="00385531">
      <w:pPr>
        <w:widowControl/>
        <w:autoSpaceDE/>
        <w:autoSpaceDN/>
        <w:rPr>
          <w:rFonts w:ascii="Arial" w:eastAsia="Times New Roman" w:hAnsi="Arial" w:cs="Arial"/>
          <w:sz w:val="21"/>
          <w:szCs w:val="20"/>
        </w:rPr>
      </w:pPr>
      <w:r w:rsidRPr="00392E0D">
        <w:rPr>
          <w:rFonts w:ascii="Arial" w:hAnsi="Arial" w:cs="Arial"/>
        </w:rPr>
        <w:br w:type="page"/>
      </w:r>
    </w:p>
    <w:p w14:paraId="3A8B339E" w14:textId="77777777" w:rsidR="00EF72E3" w:rsidRPr="00392E0D" w:rsidRDefault="00EF72E3" w:rsidP="00EF72E3">
      <w:pPr>
        <w:pStyle w:val="Body"/>
        <w:rPr>
          <w:rFonts w:cs="Arial"/>
        </w:rPr>
      </w:pPr>
      <w:r w:rsidRPr="00392E0D">
        <w:rPr>
          <w:rFonts w:cs="Arial"/>
        </w:rPr>
        <w:lastRenderedPageBreak/>
        <w:t xml:space="preserve">The </w:t>
      </w:r>
      <w:proofErr w:type="spellStart"/>
      <w:r w:rsidRPr="00392E0D">
        <w:rPr>
          <w:rFonts w:cs="Arial"/>
        </w:rPr>
        <w:t>ASGS</w:t>
      </w:r>
      <w:proofErr w:type="spellEnd"/>
      <w:r w:rsidRPr="00392E0D">
        <w:rPr>
          <w:rFonts w:cs="Arial"/>
        </w:rPr>
        <w:t xml:space="preserve"> Remoteness Areas classification is an all of Australia view. As such, remote parts of Tasmania are remote because of their location in the context of Australia, not their location in Tasmania.</w:t>
      </w:r>
    </w:p>
    <w:p w14:paraId="2AB91E75" w14:textId="77777777" w:rsidR="00EF72E3" w:rsidRPr="00392E0D" w:rsidRDefault="00EF72E3" w:rsidP="00385531">
      <w:pPr>
        <w:pStyle w:val="Heading2"/>
        <w:rPr>
          <w:rFonts w:cs="Arial"/>
        </w:rPr>
      </w:pPr>
      <w:r w:rsidRPr="00392E0D">
        <w:rPr>
          <w:rFonts w:cs="Arial"/>
        </w:rPr>
        <w:t>Reported results</w:t>
      </w:r>
    </w:p>
    <w:p w14:paraId="1AD23384" w14:textId="77777777" w:rsidR="00EF72E3" w:rsidRPr="00392E0D" w:rsidRDefault="00EF72E3" w:rsidP="00EF72E3">
      <w:pPr>
        <w:pStyle w:val="Body"/>
        <w:rPr>
          <w:rFonts w:cs="Arial"/>
        </w:rPr>
      </w:pPr>
      <w:r w:rsidRPr="00392E0D">
        <w:rPr>
          <w:rFonts w:cs="Arial"/>
        </w:rPr>
        <w:t>Reported results refer to the information that is made publicly available at a community level from the AEDC data collection. This includes:</w:t>
      </w:r>
    </w:p>
    <w:p w14:paraId="0D0F0D99" w14:textId="7FACF072" w:rsidR="00EF72E3" w:rsidRPr="00392E0D" w:rsidRDefault="00EF72E3" w:rsidP="00385531">
      <w:pPr>
        <w:pStyle w:val="Bullets1"/>
        <w:rPr>
          <w:rFonts w:cs="Arial"/>
        </w:rPr>
      </w:pPr>
      <w:r w:rsidRPr="00392E0D">
        <w:rPr>
          <w:rFonts w:cs="Arial"/>
        </w:rPr>
        <w:t>Demographic data for all children included in the census</w:t>
      </w:r>
    </w:p>
    <w:p w14:paraId="1589545E" w14:textId="693C83BA" w:rsidR="00EF72E3" w:rsidRPr="00392E0D" w:rsidRDefault="00EF72E3" w:rsidP="00385531">
      <w:pPr>
        <w:pStyle w:val="Bullets1"/>
        <w:rPr>
          <w:rFonts w:cs="Arial"/>
        </w:rPr>
      </w:pPr>
      <w:r w:rsidRPr="00392E0D">
        <w:rPr>
          <w:rFonts w:cs="Arial"/>
        </w:rPr>
        <w:t>AEDC domain scores – includes scores only from children with valid domain scores, and for those who do not have any diagnosed special need.</w:t>
      </w:r>
    </w:p>
    <w:p w14:paraId="6572E5F5" w14:textId="77777777" w:rsidR="00EF72E3" w:rsidRPr="00392E0D" w:rsidRDefault="00EF72E3" w:rsidP="00385531">
      <w:pPr>
        <w:pStyle w:val="Heading2"/>
        <w:rPr>
          <w:rFonts w:cs="Arial"/>
        </w:rPr>
      </w:pPr>
      <w:r w:rsidRPr="00392E0D">
        <w:rPr>
          <w:rFonts w:cs="Arial"/>
        </w:rPr>
        <w:t>Research Priorities</w:t>
      </w:r>
    </w:p>
    <w:p w14:paraId="03ECE67D" w14:textId="044DCA52" w:rsidR="00EF72E3" w:rsidRPr="00392E0D" w:rsidRDefault="00EF72E3" w:rsidP="00EF72E3">
      <w:pPr>
        <w:pStyle w:val="Body"/>
        <w:rPr>
          <w:rFonts w:cs="Arial"/>
        </w:rPr>
      </w:pPr>
      <w:r w:rsidRPr="00392E0D">
        <w:rPr>
          <w:rFonts w:cs="Arial"/>
        </w:rPr>
        <w:t>The AEDC research priorities are determined by the AEDC National Committee to shape government investment in early childhood research. The aim is to inform public policy and practi</w:t>
      </w:r>
      <w:r w:rsidR="00385531" w:rsidRPr="00392E0D">
        <w:rPr>
          <w:rFonts w:cs="Arial"/>
        </w:rPr>
        <w:t>c</w:t>
      </w:r>
      <w:r w:rsidRPr="00392E0D">
        <w:rPr>
          <w:rFonts w:cs="Arial"/>
        </w:rPr>
        <w:t>e by creating a point of reference for the broader community, researchers and policy makers to use, and contribute to, the AEDC evidence base through published research, community action, data linkage and/or access to the data.</w:t>
      </w:r>
    </w:p>
    <w:p w14:paraId="327D7C01" w14:textId="77777777" w:rsidR="00EF72E3" w:rsidRPr="00392E0D" w:rsidRDefault="00EF72E3" w:rsidP="00385531">
      <w:pPr>
        <w:pStyle w:val="Heading2"/>
        <w:rPr>
          <w:rFonts w:cs="Arial"/>
        </w:rPr>
      </w:pPr>
      <w:r w:rsidRPr="00392E0D">
        <w:rPr>
          <w:rFonts w:cs="Arial"/>
        </w:rPr>
        <w:t>Summary indicators</w:t>
      </w:r>
    </w:p>
    <w:p w14:paraId="130AF7FA" w14:textId="77777777" w:rsidR="00EF72E3" w:rsidRPr="00392E0D" w:rsidRDefault="00EF72E3" w:rsidP="00EF72E3">
      <w:pPr>
        <w:pStyle w:val="Body"/>
        <w:rPr>
          <w:rFonts w:cs="Arial"/>
        </w:rPr>
      </w:pPr>
      <w:r w:rsidRPr="00392E0D">
        <w:rPr>
          <w:rFonts w:cs="Arial"/>
        </w:rPr>
        <w:t>The AEDC has three summary indicators that collectively can be used to monitor trends in child development. Two of these summary indicators measure developmental vulnerability across the domains and help identify groups of children who are most vulnerable and inequities in early years systems (see ‘developmentally vulnerable on one or more domain(s) (Vuln 1)’ and ‘developmentally vulnerable on two or more domains (Vuln 2)’).</w:t>
      </w:r>
    </w:p>
    <w:p w14:paraId="26D7DB7B" w14:textId="77777777" w:rsidR="00EF72E3" w:rsidRPr="00392E0D" w:rsidRDefault="00EF72E3" w:rsidP="00EF72E3">
      <w:pPr>
        <w:pStyle w:val="Body"/>
        <w:rPr>
          <w:rFonts w:cs="Arial"/>
        </w:rPr>
      </w:pPr>
      <w:r w:rsidRPr="00392E0D">
        <w:rPr>
          <w:rFonts w:cs="Arial"/>
        </w:rPr>
        <w:t>The third summary indicator, ‘developmentally on track on five domains (OT5)’), is a strength- based indicator that helps identify where things are working well and what is working to support children’s holistic development.</w:t>
      </w:r>
    </w:p>
    <w:p w14:paraId="5B4C81DE" w14:textId="77777777" w:rsidR="00EF72E3" w:rsidRPr="00392E0D" w:rsidRDefault="00EF72E3" w:rsidP="00385531">
      <w:pPr>
        <w:pStyle w:val="Heading2"/>
        <w:rPr>
          <w:rFonts w:cs="Arial"/>
        </w:rPr>
      </w:pPr>
      <w:r w:rsidRPr="00392E0D">
        <w:rPr>
          <w:rFonts w:cs="Arial"/>
        </w:rPr>
        <w:t>Socio-Economic Indexes for Areas (</w:t>
      </w:r>
      <w:proofErr w:type="spellStart"/>
      <w:r w:rsidRPr="00392E0D">
        <w:rPr>
          <w:rFonts w:cs="Arial"/>
        </w:rPr>
        <w:t>SEIFA</w:t>
      </w:r>
      <w:proofErr w:type="spellEnd"/>
      <w:r w:rsidRPr="00392E0D">
        <w:rPr>
          <w:rFonts w:cs="Arial"/>
        </w:rPr>
        <w:t>)</w:t>
      </w:r>
    </w:p>
    <w:p w14:paraId="211F0B86" w14:textId="77777777" w:rsidR="00EF72E3" w:rsidRPr="00392E0D" w:rsidRDefault="00EF72E3" w:rsidP="00EF72E3">
      <w:pPr>
        <w:pStyle w:val="Body"/>
        <w:rPr>
          <w:rFonts w:cs="Arial"/>
        </w:rPr>
      </w:pPr>
      <w:r w:rsidRPr="00392E0D">
        <w:rPr>
          <w:rFonts w:cs="Arial"/>
        </w:rPr>
        <w:t>The AEDC classifies socio-economic status according to the Socio-Economic Indexes for Areas (</w:t>
      </w:r>
      <w:proofErr w:type="spellStart"/>
      <w:r w:rsidRPr="00392E0D">
        <w:rPr>
          <w:rFonts w:cs="Arial"/>
        </w:rPr>
        <w:t>SEIFA</w:t>
      </w:r>
      <w:proofErr w:type="spellEnd"/>
      <w:r w:rsidRPr="00392E0D">
        <w:rPr>
          <w:rFonts w:cs="Arial"/>
        </w:rPr>
        <w:t xml:space="preserve">), developed by the Australian Bureau of Statistics (ABS). They are a set of measures, derived from Census information, that </w:t>
      </w:r>
      <w:proofErr w:type="spellStart"/>
      <w:r w:rsidRPr="00392E0D">
        <w:rPr>
          <w:rFonts w:cs="Arial"/>
        </w:rPr>
        <w:t>summarise</w:t>
      </w:r>
      <w:proofErr w:type="spellEnd"/>
      <w:r w:rsidRPr="00392E0D">
        <w:rPr>
          <w:rFonts w:cs="Arial"/>
        </w:rPr>
        <w:t xml:space="preserve"> different aspects of socio-economic conditions in an area. The Index for Relative Socio-Economic Disadvantage, which is used in AEDC results, looks at Census information that reflects disadvantage such as low income, low educational attainment, high unemployment, and jobs in relatively unskilled occupations.</w:t>
      </w:r>
    </w:p>
    <w:p w14:paraId="78F2CF9E" w14:textId="77777777" w:rsidR="00EF72E3" w:rsidRPr="00392E0D" w:rsidRDefault="00EF72E3" w:rsidP="00EF72E3">
      <w:pPr>
        <w:pStyle w:val="Body"/>
        <w:rPr>
          <w:rFonts w:cs="Arial"/>
        </w:rPr>
      </w:pPr>
      <w:r w:rsidRPr="00392E0D">
        <w:rPr>
          <w:rFonts w:cs="Arial"/>
        </w:rPr>
        <w:t xml:space="preserve">Every geographical area in Australia is given a </w:t>
      </w:r>
      <w:proofErr w:type="spellStart"/>
      <w:r w:rsidRPr="00392E0D">
        <w:rPr>
          <w:rFonts w:cs="Arial"/>
        </w:rPr>
        <w:t>SEIFA</w:t>
      </w:r>
      <w:proofErr w:type="spellEnd"/>
      <w:r w:rsidRPr="00392E0D">
        <w:rPr>
          <w:rFonts w:cs="Arial"/>
        </w:rPr>
        <w:t xml:space="preserve"> score that ranks the disadvantage of an area, compared with other areas in Australia. The most recent </w:t>
      </w:r>
      <w:proofErr w:type="spellStart"/>
      <w:r w:rsidRPr="00392E0D">
        <w:rPr>
          <w:rFonts w:cs="Arial"/>
        </w:rPr>
        <w:t>SEIFA</w:t>
      </w:r>
      <w:proofErr w:type="spellEnd"/>
      <w:r w:rsidRPr="00392E0D">
        <w:rPr>
          <w:rFonts w:cs="Arial"/>
        </w:rPr>
        <w:t xml:space="preserve"> indices are based on the 2016 Census and have been back applied to all AEDC cycles (2009-2021).</w:t>
      </w:r>
    </w:p>
    <w:p w14:paraId="1262F3DE" w14:textId="77777777" w:rsidR="00EF72E3" w:rsidRPr="00392E0D" w:rsidRDefault="00EF72E3" w:rsidP="00385531">
      <w:pPr>
        <w:pStyle w:val="Heading2"/>
        <w:rPr>
          <w:rFonts w:cs="Arial"/>
        </w:rPr>
      </w:pPr>
      <w:r w:rsidRPr="00392E0D">
        <w:rPr>
          <w:rFonts w:cs="Arial"/>
        </w:rPr>
        <w:t>Special needs</w:t>
      </w:r>
    </w:p>
    <w:p w14:paraId="18059C4A" w14:textId="2B76B643" w:rsidR="00EF72E3" w:rsidRPr="00392E0D" w:rsidRDefault="00EF72E3" w:rsidP="00EF72E3">
      <w:pPr>
        <w:pStyle w:val="Body"/>
        <w:rPr>
          <w:rFonts w:cs="Arial"/>
        </w:rPr>
      </w:pPr>
      <w:r w:rsidRPr="00392E0D">
        <w:rPr>
          <w:rFonts w:cs="Arial"/>
        </w:rPr>
        <w:t>A child requiring special assistance because of chronic medical, physical or intellectually</w:t>
      </w:r>
      <w:r w:rsidR="00385531" w:rsidRPr="00392E0D">
        <w:rPr>
          <w:rFonts w:cs="Arial"/>
        </w:rPr>
        <w:t xml:space="preserve"> </w:t>
      </w:r>
      <w:r w:rsidRPr="00392E0D">
        <w:rPr>
          <w:rFonts w:cs="Arial"/>
        </w:rPr>
        <w:t>disabling conditions (e.g. autism, cerebral palsy, Down syndrome), based on a medical diagnosis or medical diagnoses.</w:t>
      </w:r>
    </w:p>
    <w:p w14:paraId="631A0D61" w14:textId="77777777" w:rsidR="00EF72E3" w:rsidRPr="00392E0D" w:rsidRDefault="00EF72E3" w:rsidP="00385531">
      <w:pPr>
        <w:pStyle w:val="Heading2"/>
        <w:rPr>
          <w:rFonts w:cs="Arial"/>
        </w:rPr>
      </w:pPr>
      <w:r w:rsidRPr="00392E0D">
        <w:rPr>
          <w:rFonts w:cs="Arial"/>
        </w:rPr>
        <w:t>Universal Access National Partnership (</w:t>
      </w:r>
      <w:proofErr w:type="spellStart"/>
      <w:r w:rsidRPr="00392E0D">
        <w:rPr>
          <w:rFonts w:cs="Arial"/>
        </w:rPr>
        <w:t>UANP</w:t>
      </w:r>
      <w:proofErr w:type="spellEnd"/>
      <w:r w:rsidRPr="00392E0D">
        <w:rPr>
          <w:rFonts w:cs="Arial"/>
        </w:rPr>
        <w:t>)</w:t>
      </w:r>
    </w:p>
    <w:p w14:paraId="46AA4FEF" w14:textId="404C3E24" w:rsidR="00EF72E3" w:rsidRPr="00392E0D" w:rsidRDefault="00EF72E3" w:rsidP="00EF72E3">
      <w:pPr>
        <w:pStyle w:val="Body"/>
        <w:rPr>
          <w:rFonts w:cs="Arial"/>
        </w:rPr>
      </w:pPr>
      <w:r w:rsidRPr="00392E0D">
        <w:rPr>
          <w:rFonts w:cs="Arial"/>
        </w:rPr>
        <w:t>The Australian Government funds state and territory governments to provide quality preschool programs through the Universal Access National Partnership (</w:t>
      </w:r>
      <w:proofErr w:type="spellStart"/>
      <w:r w:rsidRPr="00392E0D">
        <w:rPr>
          <w:rFonts w:cs="Arial"/>
        </w:rPr>
        <w:t>UANP</w:t>
      </w:r>
      <w:proofErr w:type="spellEnd"/>
      <w:r w:rsidRPr="00392E0D">
        <w:rPr>
          <w:rFonts w:cs="Arial"/>
        </w:rPr>
        <w:t xml:space="preserve">). States and territories are responsible for the provision of preschool or kindergarten in their jurisdiction. The </w:t>
      </w:r>
      <w:proofErr w:type="spellStart"/>
      <w:r w:rsidRPr="00392E0D">
        <w:rPr>
          <w:rFonts w:cs="Arial"/>
        </w:rPr>
        <w:t>UANP</w:t>
      </w:r>
      <w:proofErr w:type="spellEnd"/>
      <w:r w:rsidRPr="00392E0D">
        <w:rPr>
          <w:rFonts w:cs="Arial"/>
        </w:rPr>
        <w:t xml:space="preserve"> aims to ensure every child can participate in a quality preschool program</w:t>
      </w:r>
      <w:r w:rsidR="00385531" w:rsidRPr="00392E0D">
        <w:rPr>
          <w:rFonts w:cs="Arial"/>
        </w:rPr>
        <w:t xml:space="preserve"> </w:t>
      </w:r>
      <w:r w:rsidRPr="00392E0D">
        <w:rPr>
          <w:rFonts w:cs="Arial"/>
        </w:rPr>
        <w:t>15 hours per week (or 600 hours per year) in the year before school.</w:t>
      </w:r>
    </w:p>
    <w:p w14:paraId="5BDC2E4B" w14:textId="77777777" w:rsidR="00EF72E3" w:rsidRPr="00392E0D" w:rsidRDefault="00EF72E3" w:rsidP="00385531">
      <w:pPr>
        <w:pStyle w:val="Heading2"/>
        <w:rPr>
          <w:rFonts w:cs="Arial"/>
        </w:rPr>
      </w:pPr>
      <w:r w:rsidRPr="00392E0D">
        <w:rPr>
          <w:rFonts w:cs="Arial"/>
        </w:rPr>
        <w:t>Valid domain scores</w:t>
      </w:r>
    </w:p>
    <w:p w14:paraId="27AEB1DF" w14:textId="28E8DF38" w:rsidR="00EF72E3" w:rsidRPr="00392E0D" w:rsidRDefault="00EF72E3" w:rsidP="00EF72E3">
      <w:pPr>
        <w:pStyle w:val="Body"/>
        <w:rPr>
          <w:rFonts w:cs="Arial"/>
        </w:rPr>
      </w:pPr>
      <w:r w:rsidRPr="00392E0D">
        <w:rPr>
          <w:rFonts w:cs="Arial"/>
        </w:rPr>
        <w:t>A domain score is flagged as valid unless children have been in the class for less than one month, are less than four years old or where teachers complete less than 75 per cent of the items in any given domain.</w:t>
      </w:r>
    </w:p>
    <w:sectPr w:rsidR="00EF72E3" w:rsidRPr="00392E0D" w:rsidSect="000067CE">
      <w:pgSz w:w="11906" w:h="16838" w:code="9"/>
      <w:pgMar w:top="851" w:right="851" w:bottom="851" w:left="85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5B716" w14:textId="77777777" w:rsidR="004A4EC9" w:rsidRDefault="004A4EC9" w:rsidP="009F61BE">
      <w:r>
        <w:separator/>
      </w:r>
    </w:p>
  </w:endnote>
  <w:endnote w:type="continuationSeparator" w:id="0">
    <w:p w14:paraId="6519EDAB" w14:textId="77777777" w:rsidR="004A4EC9" w:rsidRDefault="004A4EC9" w:rsidP="009F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NeueLTStd-Roman">
    <w:altName w:val="Arial"/>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75">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87D1" w14:textId="497C8EF2" w:rsidR="004A4EC9" w:rsidRPr="002C1CD8" w:rsidRDefault="004A4EC9" w:rsidP="000067CE">
    <w:pPr>
      <w:pStyle w:val="Footer"/>
      <w:tabs>
        <w:tab w:val="clear" w:pos="4513"/>
        <w:tab w:val="clear" w:pos="9026"/>
        <w:tab w:val="right" w:pos="15136"/>
      </w:tabs>
      <w:rPr>
        <w:sz w:val="18"/>
        <w:szCs w:val="18"/>
      </w:rPr>
    </w:pPr>
    <w:r w:rsidRPr="002C1CD8">
      <w:rPr>
        <w:sz w:val="18"/>
        <w:szCs w:val="18"/>
      </w:rPr>
      <w:t>NATIONAL REPORT 2021</w:t>
    </w:r>
    <w:r>
      <w:rPr>
        <w:sz w:val="18"/>
        <w:szCs w:val="18"/>
      </w:rPr>
      <w:tab/>
    </w:r>
    <w:r w:rsidRPr="002C1CD8">
      <w:rPr>
        <w:sz w:val="18"/>
        <w:szCs w:val="18"/>
      </w:rPr>
      <w:fldChar w:fldCharType="begin"/>
    </w:r>
    <w:r w:rsidRPr="002C1CD8">
      <w:rPr>
        <w:sz w:val="18"/>
        <w:szCs w:val="18"/>
      </w:rPr>
      <w:instrText xml:space="preserve"> PAGE   \* MERGEFORMAT </w:instrText>
    </w:r>
    <w:r w:rsidRPr="002C1CD8">
      <w:rPr>
        <w:sz w:val="18"/>
        <w:szCs w:val="18"/>
      </w:rPr>
      <w:fldChar w:fldCharType="separate"/>
    </w:r>
    <w:r w:rsidRPr="002C1CD8">
      <w:rPr>
        <w:noProof/>
        <w:sz w:val="18"/>
        <w:szCs w:val="18"/>
      </w:rPr>
      <w:t>1</w:t>
    </w:r>
    <w:r w:rsidRPr="002C1CD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EABE" w14:textId="77777777" w:rsidR="004A4EC9" w:rsidRDefault="004A4EC9" w:rsidP="009F61BE">
      <w:r>
        <w:separator/>
      </w:r>
    </w:p>
  </w:footnote>
  <w:footnote w:type="continuationSeparator" w:id="0">
    <w:p w14:paraId="2480CD7C" w14:textId="77777777" w:rsidR="004A4EC9" w:rsidRDefault="004A4EC9" w:rsidP="009F61BE">
      <w:r>
        <w:continuationSeparator/>
      </w:r>
    </w:p>
  </w:footnote>
  <w:footnote w:id="1">
    <w:p w14:paraId="3D923DAC" w14:textId="651CDE37" w:rsidR="004A4EC9" w:rsidRPr="009F61BE" w:rsidRDefault="004A4EC9">
      <w:pPr>
        <w:pStyle w:val="FootnoteText"/>
        <w:rPr>
          <w:rFonts w:ascii="Arial" w:hAnsi="Arial" w:cs="Arial"/>
          <w:sz w:val="18"/>
          <w:szCs w:val="18"/>
          <w:lang w:val="en-AU"/>
        </w:rPr>
      </w:pPr>
      <w:r>
        <w:rPr>
          <w:rStyle w:val="FootnoteReference"/>
        </w:rPr>
        <w:footnoteRef/>
      </w:r>
      <w:r>
        <w:t xml:space="preserve"> </w:t>
      </w:r>
      <w:r w:rsidRPr="009F61BE">
        <w:rPr>
          <w:rFonts w:ascii="Arial" w:hAnsi="Arial" w:cs="Arial"/>
          <w:sz w:val="18"/>
          <w:szCs w:val="18"/>
        </w:rPr>
        <w:t>Sincovich,</w:t>
      </w:r>
      <w:r w:rsidRPr="009F61BE">
        <w:rPr>
          <w:rFonts w:ascii="Arial" w:hAnsi="Arial" w:cs="Arial"/>
          <w:spacing w:val="32"/>
          <w:sz w:val="18"/>
          <w:szCs w:val="18"/>
        </w:rPr>
        <w:t xml:space="preserve"> </w:t>
      </w:r>
      <w:r w:rsidRPr="009F61BE">
        <w:rPr>
          <w:rFonts w:ascii="Arial" w:hAnsi="Arial" w:cs="Arial"/>
          <w:sz w:val="18"/>
          <w:szCs w:val="18"/>
        </w:rPr>
        <w:t>A.,</w:t>
      </w:r>
      <w:r w:rsidRPr="009F61BE">
        <w:rPr>
          <w:rFonts w:ascii="Arial" w:hAnsi="Arial" w:cs="Arial"/>
          <w:spacing w:val="32"/>
          <w:sz w:val="18"/>
          <w:szCs w:val="18"/>
        </w:rPr>
        <w:t xml:space="preserve"> </w:t>
      </w:r>
      <w:r w:rsidRPr="009F61BE">
        <w:rPr>
          <w:rFonts w:ascii="Arial" w:hAnsi="Arial" w:cs="Arial"/>
          <w:sz w:val="18"/>
          <w:szCs w:val="18"/>
        </w:rPr>
        <w:t>Harman-Smith,</w:t>
      </w:r>
      <w:r w:rsidRPr="009F61BE">
        <w:rPr>
          <w:rFonts w:ascii="Arial" w:hAnsi="Arial" w:cs="Arial"/>
          <w:spacing w:val="33"/>
          <w:sz w:val="18"/>
          <w:szCs w:val="18"/>
        </w:rPr>
        <w:t xml:space="preserve"> </w:t>
      </w:r>
      <w:r w:rsidRPr="009F61BE">
        <w:rPr>
          <w:rFonts w:ascii="Arial" w:hAnsi="Arial" w:cs="Arial"/>
          <w:sz w:val="18"/>
          <w:szCs w:val="18"/>
        </w:rPr>
        <w:t>Y.,</w:t>
      </w:r>
      <w:r w:rsidRPr="009F61BE">
        <w:rPr>
          <w:rFonts w:ascii="Arial" w:hAnsi="Arial" w:cs="Arial"/>
          <w:spacing w:val="32"/>
          <w:sz w:val="18"/>
          <w:szCs w:val="18"/>
        </w:rPr>
        <w:t xml:space="preserve"> </w:t>
      </w:r>
      <w:r w:rsidRPr="009F61BE">
        <w:rPr>
          <w:rFonts w:ascii="Arial" w:hAnsi="Arial" w:cs="Arial"/>
          <w:sz w:val="18"/>
          <w:szCs w:val="18"/>
        </w:rPr>
        <w:t>Gregory,</w:t>
      </w:r>
      <w:r w:rsidRPr="009F61BE">
        <w:rPr>
          <w:rFonts w:ascii="Arial" w:hAnsi="Arial" w:cs="Arial"/>
          <w:spacing w:val="32"/>
          <w:sz w:val="18"/>
          <w:szCs w:val="18"/>
        </w:rPr>
        <w:t xml:space="preserve"> </w:t>
      </w:r>
      <w:r w:rsidRPr="009F61BE">
        <w:rPr>
          <w:rFonts w:ascii="Arial" w:hAnsi="Arial" w:cs="Arial"/>
          <w:sz w:val="18"/>
          <w:szCs w:val="18"/>
        </w:rPr>
        <w:t>T.</w:t>
      </w:r>
      <w:r w:rsidRPr="009F61BE">
        <w:rPr>
          <w:rFonts w:ascii="Arial" w:hAnsi="Arial" w:cs="Arial"/>
          <w:spacing w:val="33"/>
          <w:sz w:val="18"/>
          <w:szCs w:val="18"/>
        </w:rPr>
        <w:t xml:space="preserve"> </w:t>
      </w:r>
      <w:r w:rsidRPr="009F61BE">
        <w:rPr>
          <w:rFonts w:ascii="Arial" w:hAnsi="Arial" w:cs="Arial"/>
          <w:sz w:val="18"/>
          <w:szCs w:val="18"/>
        </w:rPr>
        <w:t>&amp;</w:t>
      </w:r>
      <w:r w:rsidRPr="009F61BE">
        <w:rPr>
          <w:rFonts w:ascii="Arial" w:hAnsi="Arial" w:cs="Arial"/>
          <w:spacing w:val="32"/>
          <w:sz w:val="18"/>
          <w:szCs w:val="18"/>
        </w:rPr>
        <w:t xml:space="preserve"> </w:t>
      </w:r>
      <w:r w:rsidRPr="009F61BE">
        <w:rPr>
          <w:rFonts w:ascii="Arial" w:hAnsi="Arial" w:cs="Arial"/>
          <w:sz w:val="18"/>
          <w:szCs w:val="18"/>
        </w:rPr>
        <w:t>Brinkman,</w:t>
      </w:r>
      <w:r w:rsidRPr="009F61BE">
        <w:rPr>
          <w:rFonts w:ascii="Arial" w:hAnsi="Arial" w:cs="Arial"/>
          <w:spacing w:val="32"/>
          <w:sz w:val="18"/>
          <w:szCs w:val="18"/>
        </w:rPr>
        <w:t xml:space="preserve"> </w:t>
      </w:r>
      <w:r w:rsidRPr="009F61BE">
        <w:rPr>
          <w:rFonts w:ascii="Arial" w:hAnsi="Arial" w:cs="Arial"/>
          <w:sz w:val="18"/>
          <w:szCs w:val="18"/>
        </w:rPr>
        <w:t>S.</w:t>
      </w:r>
      <w:r w:rsidRPr="009F61BE">
        <w:rPr>
          <w:rFonts w:ascii="Arial" w:hAnsi="Arial" w:cs="Arial"/>
          <w:spacing w:val="33"/>
          <w:sz w:val="18"/>
          <w:szCs w:val="18"/>
        </w:rPr>
        <w:t xml:space="preserve"> </w:t>
      </w:r>
      <w:r w:rsidRPr="009F61BE">
        <w:rPr>
          <w:rFonts w:ascii="Arial" w:hAnsi="Arial" w:cs="Arial"/>
          <w:sz w:val="18"/>
          <w:szCs w:val="18"/>
        </w:rPr>
        <w:t>(2020).</w:t>
      </w:r>
      <w:r w:rsidRPr="009F61BE">
        <w:rPr>
          <w:rFonts w:ascii="Arial" w:hAnsi="Arial" w:cs="Arial"/>
          <w:spacing w:val="32"/>
          <w:sz w:val="18"/>
          <w:szCs w:val="18"/>
        </w:rPr>
        <w:t xml:space="preserve"> </w:t>
      </w:r>
      <w:r w:rsidRPr="009F61BE">
        <w:rPr>
          <w:rFonts w:ascii="Arial" w:hAnsi="Arial" w:cs="Arial"/>
          <w:sz w:val="18"/>
          <w:szCs w:val="18"/>
        </w:rPr>
        <w:t>The</w:t>
      </w:r>
      <w:r w:rsidRPr="009F61BE">
        <w:rPr>
          <w:rFonts w:ascii="Arial" w:hAnsi="Arial" w:cs="Arial"/>
          <w:spacing w:val="32"/>
          <w:sz w:val="18"/>
          <w:szCs w:val="18"/>
        </w:rPr>
        <w:t xml:space="preserve"> </w:t>
      </w:r>
      <w:r w:rsidRPr="009F61BE">
        <w:rPr>
          <w:rFonts w:ascii="Arial" w:hAnsi="Arial" w:cs="Arial"/>
          <w:sz w:val="18"/>
          <w:szCs w:val="18"/>
        </w:rPr>
        <w:t>relationship</w:t>
      </w:r>
      <w:r w:rsidRPr="009F61BE">
        <w:rPr>
          <w:rFonts w:ascii="Arial" w:hAnsi="Arial" w:cs="Arial"/>
          <w:spacing w:val="33"/>
          <w:sz w:val="18"/>
          <w:szCs w:val="18"/>
        </w:rPr>
        <w:t xml:space="preserve"> </w:t>
      </w:r>
      <w:r w:rsidRPr="009F61BE">
        <w:rPr>
          <w:rFonts w:ascii="Arial" w:hAnsi="Arial" w:cs="Arial"/>
          <w:sz w:val="18"/>
          <w:szCs w:val="18"/>
        </w:rPr>
        <w:t>between</w:t>
      </w:r>
      <w:r w:rsidRPr="009F61BE">
        <w:rPr>
          <w:rFonts w:ascii="Arial" w:hAnsi="Arial" w:cs="Arial"/>
          <w:spacing w:val="32"/>
          <w:sz w:val="18"/>
          <w:szCs w:val="18"/>
        </w:rPr>
        <w:t xml:space="preserve"> </w:t>
      </w:r>
      <w:r w:rsidRPr="009F61BE">
        <w:rPr>
          <w:rFonts w:ascii="Arial" w:hAnsi="Arial" w:cs="Arial"/>
          <w:sz w:val="18"/>
          <w:szCs w:val="18"/>
        </w:rPr>
        <w:t>early</w:t>
      </w:r>
      <w:r w:rsidRPr="009F61BE">
        <w:rPr>
          <w:rFonts w:ascii="Arial" w:hAnsi="Arial" w:cs="Arial"/>
          <w:spacing w:val="32"/>
          <w:sz w:val="18"/>
          <w:szCs w:val="18"/>
        </w:rPr>
        <w:t xml:space="preserve"> </w:t>
      </w:r>
      <w:r w:rsidRPr="009F61BE">
        <w:rPr>
          <w:rFonts w:ascii="Arial" w:hAnsi="Arial" w:cs="Arial"/>
          <w:sz w:val="18"/>
          <w:szCs w:val="18"/>
        </w:rPr>
        <w:t>childhood</w:t>
      </w:r>
      <w:r w:rsidRPr="009F61BE">
        <w:rPr>
          <w:rFonts w:ascii="Arial" w:hAnsi="Arial" w:cs="Arial"/>
          <w:spacing w:val="33"/>
          <w:sz w:val="18"/>
          <w:szCs w:val="18"/>
        </w:rPr>
        <w:t xml:space="preserve"> </w:t>
      </w:r>
      <w:r w:rsidRPr="009F61BE">
        <w:rPr>
          <w:rFonts w:ascii="Arial" w:hAnsi="Arial" w:cs="Arial"/>
          <w:sz w:val="18"/>
          <w:szCs w:val="18"/>
        </w:rPr>
        <w:t>education</w:t>
      </w:r>
      <w:r w:rsidRPr="009F61BE">
        <w:rPr>
          <w:rFonts w:ascii="Arial" w:hAnsi="Arial" w:cs="Arial"/>
          <w:spacing w:val="32"/>
          <w:sz w:val="18"/>
          <w:szCs w:val="18"/>
        </w:rPr>
        <w:t xml:space="preserve"> </w:t>
      </w:r>
      <w:r w:rsidRPr="009F61BE">
        <w:rPr>
          <w:rFonts w:ascii="Arial" w:hAnsi="Arial" w:cs="Arial"/>
          <w:sz w:val="18"/>
          <w:szCs w:val="18"/>
        </w:rPr>
        <w:t>and</w:t>
      </w:r>
      <w:r w:rsidRPr="009F61BE">
        <w:rPr>
          <w:rFonts w:ascii="Arial" w:hAnsi="Arial" w:cs="Arial"/>
          <w:spacing w:val="33"/>
          <w:sz w:val="18"/>
          <w:szCs w:val="18"/>
        </w:rPr>
        <w:t xml:space="preserve"> </w:t>
      </w:r>
      <w:r w:rsidRPr="009F61BE">
        <w:rPr>
          <w:rFonts w:ascii="Arial" w:hAnsi="Arial" w:cs="Arial"/>
          <w:sz w:val="18"/>
          <w:szCs w:val="18"/>
        </w:rPr>
        <w:t>care</w:t>
      </w:r>
      <w:r w:rsidRPr="009F61BE">
        <w:rPr>
          <w:rFonts w:ascii="Arial" w:hAnsi="Arial" w:cs="Arial"/>
          <w:spacing w:val="32"/>
          <w:sz w:val="18"/>
          <w:szCs w:val="18"/>
        </w:rPr>
        <w:t xml:space="preserve"> </w:t>
      </w:r>
      <w:r w:rsidRPr="009F61BE">
        <w:rPr>
          <w:rFonts w:ascii="Arial" w:hAnsi="Arial" w:cs="Arial"/>
          <w:sz w:val="18"/>
          <w:szCs w:val="18"/>
        </w:rPr>
        <w:t>and</w:t>
      </w:r>
      <w:r w:rsidRPr="009F61BE">
        <w:rPr>
          <w:rFonts w:ascii="Arial" w:hAnsi="Arial" w:cs="Arial"/>
          <w:spacing w:val="32"/>
          <w:sz w:val="18"/>
          <w:szCs w:val="18"/>
        </w:rPr>
        <w:t xml:space="preserve"> </w:t>
      </w:r>
      <w:r w:rsidRPr="009F61BE">
        <w:rPr>
          <w:rFonts w:ascii="Arial" w:hAnsi="Arial" w:cs="Arial"/>
          <w:sz w:val="18"/>
          <w:szCs w:val="18"/>
        </w:rPr>
        <w:t>children’s</w:t>
      </w:r>
      <w:r w:rsidRPr="009F61BE">
        <w:rPr>
          <w:rFonts w:ascii="Arial" w:hAnsi="Arial" w:cs="Arial"/>
          <w:spacing w:val="33"/>
          <w:sz w:val="18"/>
          <w:szCs w:val="18"/>
        </w:rPr>
        <w:t xml:space="preserve"> </w:t>
      </w:r>
      <w:r w:rsidRPr="009F61BE">
        <w:rPr>
          <w:rFonts w:ascii="Arial" w:hAnsi="Arial" w:cs="Arial"/>
          <w:sz w:val="18"/>
          <w:szCs w:val="18"/>
        </w:rPr>
        <w:t>development</w:t>
      </w:r>
      <w:r w:rsidRPr="009F61BE">
        <w:rPr>
          <w:rFonts w:ascii="Arial" w:hAnsi="Arial" w:cs="Arial"/>
          <w:spacing w:val="32"/>
          <w:sz w:val="18"/>
          <w:szCs w:val="18"/>
        </w:rPr>
        <w:t xml:space="preserve"> </w:t>
      </w:r>
      <w:r w:rsidRPr="009F61BE">
        <w:rPr>
          <w:rFonts w:ascii="Arial" w:hAnsi="Arial" w:cs="Arial"/>
          <w:sz w:val="18"/>
          <w:szCs w:val="18"/>
        </w:rPr>
        <w:t>(AEDC</w:t>
      </w:r>
      <w:r w:rsidRPr="009F61BE">
        <w:rPr>
          <w:rFonts w:ascii="Arial" w:hAnsi="Arial" w:cs="Arial"/>
          <w:spacing w:val="32"/>
          <w:sz w:val="18"/>
          <w:szCs w:val="18"/>
        </w:rPr>
        <w:t xml:space="preserve"> </w:t>
      </w:r>
      <w:r w:rsidRPr="009F61BE">
        <w:rPr>
          <w:rFonts w:ascii="Arial" w:hAnsi="Arial" w:cs="Arial"/>
          <w:sz w:val="18"/>
          <w:szCs w:val="18"/>
        </w:rPr>
        <w:t>Research</w:t>
      </w:r>
      <w:r w:rsidRPr="009F61BE">
        <w:rPr>
          <w:rFonts w:ascii="Arial" w:hAnsi="Arial" w:cs="Arial"/>
          <w:spacing w:val="33"/>
          <w:sz w:val="18"/>
          <w:szCs w:val="18"/>
        </w:rPr>
        <w:t xml:space="preserve"> </w:t>
      </w:r>
      <w:r w:rsidRPr="009F61BE">
        <w:rPr>
          <w:rFonts w:ascii="Arial" w:hAnsi="Arial" w:cs="Arial"/>
          <w:sz w:val="18"/>
          <w:szCs w:val="18"/>
        </w:rPr>
        <w:t>Snapshot).</w:t>
      </w:r>
      <w:r w:rsidRPr="009F61BE">
        <w:rPr>
          <w:rFonts w:ascii="Arial" w:hAnsi="Arial" w:cs="Arial"/>
          <w:spacing w:val="1"/>
          <w:sz w:val="18"/>
          <w:szCs w:val="18"/>
        </w:rPr>
        <w:t xml:space="preserve"> </w:t>
      </w:r>
      <w:r w:rsidRPr="009F61BE">
        <w:rPr>
          <w:rFonts w:ascii="Arial" w:hAnsi="Arial" w:cs="Arial"/>
          <w:sz w:val="18"/>
          <w:szCs w:val="18"/>
        </w:rPr>
        <w:t>Australian</w:t>
      </w:r>
      <w:r w:rsidRPr="009F61BE">
        <w:rPr>
          <w:rFonts w:ascii="Arial" w:hAnsi="Arial" w:cs="Arial"/>
          <w:spacing w:val="8"/>
          <w:sz w:val="18"/>
          <w:szCs w:val="18"/>
        </w:rPr>
        <w:t xml:space="preserve"> </w:t>
      </w:r>
      <w:r w:rsidRPr="009F61BE">
        <w:rPr>
          <w:rFonts w:ascii="Arial" w:hAnsi="Arial" w:cs="Arial"/>
          <w:sz w:val="18"/>
          <w:szCs w:val="18"/>
        </w:rPr>
        <w:t>Government,</w:t>
      </w:r>
      <w:r w:rsidRPr="009F61BE">
        <w:rPr>
          <w:rFonts w:ascii="Arial" w:hAnsi="Arial" w:cs="Arial"/>
          <w:spacing w:val="8"/>
          <w:sz w:val="18"/>
          <w:szCs w:val="18"/>
        </w:rPr>
        <w:t xml:space="preserve"> </w:t>
      </w:r>
      <w:r w:rsidRPr="009F61BE">
        <w:rPr>
          <w:rFonts w:ascii="Arial" w:hAnsi="Arial" w:cs="Arial"/>
          <w:sz w:val="18"/>
          <w:szCs w:val="18"/>
        </w:rPr>
        <w:t>Canberra.</w:t>
      </w:r>
      <w:r w:rsidRPr="009F61BE">
        <w:rPr>
          <w:rFonts w:ascii="Arial" w:hAnsi="Arial" w:cs="Arial"/>
          <w:spacing w:val="8"/>
          <w:sz w:val="18"/>
          <w:szCs w:val="18"/>
        </w:rPr>
        <w:t xml:space="preserve"> </w:t>
      </w:r>
      <w:r w:rsidRPr="009F61BE">
        <w:rPr>
          <w:rFonts w:ascii="Arial" w:hAnsi="Arial" w:cs="Arial"/>
          <w:sz w:val="18"/>
          <w:szCs w:val="18"/>
        </w:rPr>
        <w:t>Available</w:t>
      </w:r>
      <w:r w:rsidRPr="009F61BE">
        <w:rPr>
          <w:rFonts w:ascii="Arial" w:hAnsi="Arial" w:cs="Arial"/>
          <w:spacing w:val="8"/>
          <w:sz w:val="18"/>
          <w:szCs w:val="18"/>
        </w:rPr>
        <w:t xml:space="preserve"> </w:t>
      </w:r>
      <w:r w:rsidRPr="009F61BE">
        <w:rPr>
          <w:rFonts w:ascii="Arial" w:hAnsi="Arial" w:cs="Arial"/>
          <w:sz w:val="18"/>
          <w:szCs w:val="18"/>
        </w:rPr>
        <w:t>at</w:t>
      </w:r>
      <w:r w:rsidRPr="009F61BE">
        <w:rPr>
          <w:rFonts w:ascii="Arial" w:hAnsi="Arial" w:cs="Arial"/>
          <w:spacing w:val="8"/>
          <w:sz w:val="18"/>
          <w:szCs w:val="18"/>
        </w:rPr>
        <w:t xml:space="preserve"> </w:t>
      </w:r>
      <w:r w:rsidRPr="009F61BE">
        <w:rPr>
          <w:rFonts w:ascii="Arial" w:hAnsi="Arial" w:cs="Arial"/>
          <w:sz w:val="18"/>
          <w:szCs w:val="18"/>
        </w:rPr>
        <w:t>(</w:t>
      </w:r>
      <w:hyperlink r:id="rId1">
        <w:r w:rsidRPr="009F61BE">
          <w:rPr>
            <w:rFonts w:ascii="Arial" w:hAnsi="Arial" w:cs="Arial"/>
            <w:color w:val="215E9E"/>
            <w:sz w:val="18"/>
            <w:szCs w:val="18"/>
            <w:u w:val="single" w:color="215E9E"/>
          </w:rPr>
          <w:t>aedc.gov.au</w:t>
        </w:r>
      </w:hyperlink>
      <w:r w:rsidRPr="009F61BE">
        <w:rPr>
          <w:rFonts w:ascii="Arial" w:hAnsi="Arial" w:cs="Arial"/>
          <w:sz w:val="18"/>
          <w:szCs w:val="18"/>
        </w:rPr>
        <w:t>).</w:t>
      </w:r>
    </w:p>
  </w:footnote>
  <w:footnote w:id="2">
    <w:p w14:paraId="2C4EA799" w14:textId="103170E4" w:rsidR="004A4EC9" w:rsidRPr="009F61BE" w:rsidRDefault="004A4EC9">
      <w:pPr>
        <w:pStyle w:val="FootnoteText"/>
        <w:rPr>
          <w:rFonts w:ascii="Arial" w:hAnsi="Arial" w:cs="Arial"/>
          <w:sz w:val="18"/>
          <w:szCs w:val="18"/>
          <w:lang w:val="en-AU"/>
        </w:rPr>
      </w:pPr>
      <w:r>
        <w:rPr>
          <w:rStyle w:val="FootnoteReference"/>
        </w:rPr>
        <w:footnoteRef/>
      </w:r>
      <w:r>
        <w:t xml:space="preserve"> </w:t>
      </w:r>
      <w:r w:rsidRPr="009F61BE">
        <w:rPr>
          <w:rFonts w:ascii="Arial" w:hAnsi="Arial" w:cs="Arial"/>
          <w:sz w:val="18"/>
          <w:szCs w:val="18"/>
        </w:rPr>
        <w:t>Gregory,</w:t>
      </w:r>
      <w:r w:rsidRPr="009F61BE">
        <w:rPr>
          <w:rFonts w:ascii="Arial" w:hAnsi="Arial" w:cs="Arial"/>
          <w:spacing w:val="33"/>
          <w:sz w:val="18"/>
          <w:szCs w:val="18"/>
        </w:rPr>
        <w:t xml:space="preserve"> </w:t>
      </w:r>
      <w:r w:rsidRPr="009F61BE">
        <w:rPr>
          <w:rFonts w:ascii="Arial" w:hAnsi="Arial" w:cs="Arial"/>
          <w:sz w:val="18"/>
          <w:szCs w:val="18"/>
        </w:rPr>
        <w:t>T.</w:t>
      </w:r>
      <w:r w:rsidRPr="009F61BE">
        <w:rPr>
          <w:rFonts w:ascii="Arial" w:hAnsi="Arial" w:cs="Arial"/>
          <w:spacing w:val="34"/>
          <w:sz w:val="18"/>
          <w:szCs w:val="18"/>
        </w:rPr>
        <w:t xml:space="preserve"> </w:t>
      </w:r>
      <w:r w:rsidRPr="009F61BE">
        <w:rPr>
          <w:rFonts w:ascii="Arial" w:hAnsi="Arial" w:cs="Arial"/>
          <w:sz w:val="18"/>
          <w:szCs w:val="18"/>
        </w:rPr>
        <w:t>&amp;</w:t>
      </w:r>
      <w:r w:rsidRPr="009F61BE">
        <w:rPr>
          <w:rFonts w:ascii="Arial" w:hAnsi="Arial" w:cs="Arial"/>
          <w:spacing w:val="33"/>
          <w:sz w:val="18"/>
          <w:szCs w:val="18"/>
        </w:rPr>
        <w:t xml:space="preserve"> </w:t>
      </w:r>
      <w:r w:rsidRPr="009F61BE">
        <w:rPr>
          <w:rFonts w:ascii="Arial" w:hAnsi="Arial" w:cs="Arial"/>
          <w:sz w:val="18"/>
          <w:szCs w:val="18"/>
        </w:rPr>
        <w:t>Brinkman,</w:t>
      </w:r>
      <w:r w:rsidRPr="009F61BE">
        <w:rPr>
          <w:rFonts w:ascii="Arial" w:hAnsi="Arial" w:cs="Arial"/>
          <w:spacing w:val="34"/>
          <w:sz w:val="18"/>
          <w:szCs w:val="18"/>
        </w:rPr>
        <w:t xml:space="preserve"> </w:t>
      </w:r>
      <w:r w:rsidRPr="009F61BE">
        <w:rPr>
          <w:rFonts w:ascii="Arial" w:hAnsi="Arial" w:cs="Arial"/>
          <w:sz w:val="18"/>
          <w:szCs w:val="18"/>
        </w:rPr>
        <w:t>S.</w:t>
      </w:r>
      <w:r w:rsidRPr="009F61BE">
        <w:rPr>
          <w:rFonts w:ascii="Arial" w:hAnsi="Arial" w:cs="Arial"/>
          <w:spacing w:val="34"/>
          <w:sz w:val="18"/>
          <w:szCs w:val="18"/>
        </w:rPr>
        <w:t xml:space="preserve"> </w:t>
      </w:r>
      <w:r w:rsidRPr="009F61BE">
        <w:rPr>
          <w:rFonts w:ascii="Arial" w:hAnsi="Arial" w:cs="Arial"/>
          <w:sz w:val="18"/>
          <w:szCs w:val="18"/>
        </w:rPr>
        <w:t>(2014).</w:t>
      </w:r>
      <w:r w:rsidRPr="009F61BE">
        <w:rPr>
          <w:rFonts w:ascii="Arial" w:hAnsi="Arial" w:cs="Arial"/>
          <w:spacing w:val="33"/>
          <w:sz w:val="18"/>
          <w:szCs w:val="18"/>
        </w:rPr>
        <w:t xml:space="preserve"> </w:t>
      </w:r>
      <w:r w:rsidRPr="009F61BE">
        <w:rPr>
          <w:rFonts w:ascii="Arial" w:hAnsi="Arial" w:cs="Arial"/>
          <w:sz w:val="18"/>
          <w:szCs w:val="18"/>
        </w:rPr>
        <w:t>The</w:t>
      </w:r>
      <w:r w:rsidRPr="009F61BE">
        <w:rPr>
          <w:rFonts w:ascii="Arial" w:hAnsi="Arial" w:cs="Arial"/>
          <w:spacing w:val="34"/>
          <w:sz w:val="18"/>
          <w:szCs w:val="18"/>
        </w:rPr>
        <w:t xml:space="preserve"> </w:t>
      </w:r>
      <w:r w:rsidRPr="009F61BE">
        <w:rPr>
          <w:rFonts w:ascii="Arial" w:hAnsi="Arial" w:cs="Arial"/>
          <w:sz w:val="18"/>
          <w:szCs w:val="18"/>
        </w:rPr>
        <w:t>predictive</w:t>
      </w:r>
      <w:r w:rsidRPr="009F61BE">
        <w:rPr>
          <w:rFonts w:ascii="Arial" w:hAnsi="Arial" w:cs="Arial"/>
          <w:spacing w:val="33"/>
          <w:sz w:val="18"/>
          <w:szCs w:val="18"/>
        </w:rPr>
        <w:t xml:space="preserve"> </w:t>
      </w:r>
      <w:r w:rsidRPr="009F61BE">
        <w:rPr>
          <w:rFonts w:ascii="Arial" w:hAnsi="Arial" w:cs="Arial"/>
          <w:sz w:val="18"/>
          <w:szCs w:val="18"/>
        </w:rPr>
        <w:t>validity</w:t>
      </w:r>
      <w:r w:rsidRPr="009F61BE">
        <w:rPr>
          <w:rFonts w:ascii="Arial" w:hAnsi="Arial" w:cs="Arial"/>
          <w:spacing w:val="34"/>
          <w:sz w:val="18"/>
          <w:szCs w:val="18"/>
        </w:rPr>
        <w:t xml:space="preserve"> </w:t>
      </w:r>
      <w:r w:rsidRPr="009F61BE">
        <w:rPr>
          <w:rFonts w:ascii="Arial" w:hAnsi="Arial" w:cs="Arial"/>
          <w:sz w:val="18"/>
          <w:szCs w:val="18"/>
        </w:rPr>
        <w:t>of</w:t>
      </w:r>
      <w:r w:rsidRPr="009F61BE">
        <w:rPr>
          <w:rFonts w:ascii="Arial" w:hAnsi="Arial" w:cs="Arial"/>
          <w:spacing w:val="34"/>
          <w:sz w:val="18"/>
          <w:szCs w:val="18"/>
        </w:rPr>
        <w:t xml:space="preserve"> </w:t>
      </w:r>
      <w:r w:rsidRPr="009F61BE">
        <w:rPr>
          <w:rFonts w:ascii="Arial" w:hAnsi="Arial" w:cs="Arial"/>
          <w:sz w:val="18"/>
          <w:szCs w:val="18"/>
        </w:rPr>
        <w:t>the</w:t>
      </w:r>
      <w:r w:rsidRPr="009F61BE">
        <w:rPr>
          <w:rFonts w:ascii="Arial" w:hAnsi="Arial" w:cs="Arial"/>
          <w:spacing w:val="33"/>
          <w:sz w:val="18"/>
          <w:szCs w:val="18"/>
        </w:rPr>
        <w:t xml:space="preserve"> </w:t>
      </w:r>
      <w:r w:rsidRPr="009F61BE">
        <w:rPr>
          <w:rFonts w:ascii="Arial" w:hAnsi="Arial" w:cs="Arial"/>
          <w:sz w:val="18"/>
          <w:szCs w:val="18"/>
        </w:rPr>
        <w:t>AEDC:</w:t>
      </w:r>
      <w:r w:rsidRPr="009F61BE">
        <w:rPr>
          <w:rFonts w:ascii="Arial" w:hAnsi="Arial" w:cs="Arial"/>
          <w:spacing w:val="34"/>
          <w:sz w:val="18"/>
          <w:szCs w:val="18"/>
        </w:rPr>
        <w:t xml:space="preserve"> </w:t>
      </w:r>
      <w:r w:rsidRPr="009F61BE">
        <w:rPr>
          <w:rFonts w:ascii="Arial" w:hAnsi="Arial" w:cs="Arial"/>
          <w:sz w:val="18"/>
          <w:szCs w:val="18"/>
        </w:rPr>
        <w:t>Predicting</w:t>
      </w:r>
      <w:r w:rsidRPr="009F61BE">
        <w:rPr>
          <w:rFonts w:ascii="Arial" w:hAnsi="Arial" w:cs="Arial"/>
          <w:spacing w:val="34"/>
          <w:sz w:val="18"/>
          <w:szCs w:val="18"/>
        </w:rPr>
        <w:t xml:space="preserve"> </w:t>
      </w:r>
      <w:r w:rsidRPr="009F61BE">
        <w:rPr>
          <w:rFonts w:ascii="Arial" w:hAnsi="Arial" w:cs="Arial"/>
          <w:sz w:val="18"/>
          <w:szCs w:val="18"/>
        </w:rPr>
        <w:t>later</w:t>
      </w:r>
      <w:r w:rsidRPr="009F61BE">
        <w:rPr>
          <w:rFonts w:ascii="Arial" w:hAnsi="Arial" w:cs="Arial"/>
          <w:spacing w:val="33"/>
          <w:sz w:val="18"/>
          <w:szCs w:val="18"/>
        </w:rPr>
        <w:t xml:space="preserve"> </w:t>
      </w:r>
      <w:r w:rsidRPr="009F61BE">
        <w:rPr>
          <w:rFonts w:ascii="Arial" w:hAnsi="Arial" w:cs="Arial"/>
          <w:sz w:val="18"/>
          <w:szCs w:val="18"/>
        </w:rPr>
        <w:t>cognitive</w:t>
      </w:r>
      <w:r w:rsidRPr="009F61BE">
        <w:rPr>
          <w:rFonts w:ascii="Arial" w:hAnsi="Arial" w:cs="Arial"/>
          <w:spacing w:val="34"/>
          <w:sz w:val="18"/>
          <w:szCs w:val="18"/>
        </w:rPr>
        <w:t xml:space="preserve"> </w:t>
      </w:r>
      <w:r w:rsidRPr="009F61BE">
        <w:rPr>
          <w:rFonts w:ascii="Arial" w:hAnsi="Arial" w:cs="Arial"/>
          <w:sz w:val="18"/>
          <w:szCs w:val="18"/>
        </w:rPr>
        <w:t>and</w:t>
      </w:r>
      <w:r w:rsidRPr="009F61BE">
        <w:rPr>
          <w:rFonts w:ascii="Arial" w:hAnsi="Arial" w:cs="Arial"/>
          <w:spacing w:val="33"/>
          <w:sz w:val="18"/>
          <w:szCs w:val="18"/>
        </w:rPr>
        <w:t xml:space="preserve"> </w:t>
      </w:r>
      <w:r w:rsidRPr="009F61BE">
        <w:rPr>
          <w:rFonts w:ascii="Arial" w:hAnsi="Arial" w:cs="Arial"/>
          <w:sz w:val="18"/>
          <w:szCs w:val="18"/>
        </w:rPr>
        <w:t>behavioural</w:t>
      </w:r>
      <w:r w:rsidRPr="009F61BE">
        <w:rPr>
          <w:rFonts w:ascii="Arial" w:hAnsi="Arial" w:cs="Arial"/>
          <w:spacing w:val="34"/>
          <w:sz w:val="18"/>
          <w:szCs w:val="18"/>
        </w:rPr>
        <w:t xml:space="preserve"> </w:t>
      </w:r>
      <w:r w:rsidRPr="009F61BE">
        <w:rPr>
          <w:rFonts w:ascii="Arial" w:hAnsi="Arial" w:cs="Arial"/>
          <w:sz w:val="18"/>
          <w:szCs w:val="18"/>
        </w:rPr>
        <w:t>outcomes</w:t>
      </w:r>
      <w:r w:rsidRPr="009F61BE">
        <w:rPr>
          <w:rFonts w:ascii="Arial" w:hAnsi="Arial" w:cs="Arial"/>
          <w:spacing w:val="34"/>
          <w:sz w:val="18"/>
          <w:szCs w:val="18"/>
        </w:rPr>
        <w:t xml:space="preserve"> </w:t>
      </w:r>
      <w:r w:rsidRPr="009F61BE">
        <w:rPr>
          <w:rFonts w:ascii="Arial" w:hAnsi="Arial" w:cs="Arial"/>
          <w:sz w:val="18"/>
          <w:szCs w:val="18"/>
        </w:rPr>
        <w:t>(AEDC</w:t>
      </w:r>
      <w:r w:rsidRPr="009F61BE">
        <w:rPr>
          <w:rFonts w:ascii="Arial" w:hAnsi="Arial" w:cs="Arial"/>
          <w:spacing w:val="33"/>
          <w:sz w:val="18"/>
          <w:szCs w:val="18"/>
        </w:rPr>
        <w:t xml:space="preserve"> </w:t>
      </w:r>
      <w:r w:rsidRPr="009F61BE">
        <w:rPr>
          <w:rFonts w:ascii="Arial" w:hAnsi="Arial" w:cs="Arial"/>
          <w:sz w:val="18"/>
          <w:szCs w:val="18"/>
        </w:rPr>
        <w:t>Research</w:t>
      </w:r>
      <w:r w:rsidRPr="009F61BE">
        <w:rPr>
          <w:rFonts w:ascii="Arial" w:hAnsi="Arial" w:cs="Arial"/>
          <w:spacing w:val="34"/>
          <w:sz w:val="18"/>
          <w:szCs w:val="18"/>
        </w:rPr>
        <w:t xml:space="preserve"> </w:t>
      </w:r>
      <w:r w:rsidRPr="009F61BE">
        <w:rPr>
          <w:rFonts w:ascii="Arial" w:hAnsi="Arial" w:cs="Arial"/>
          <w:sz w:val="18"/>
          <w:szCs w:val="18"/>
        </w:rPr>
        <w:t>Snapshot).</w:t>
      </w:r>
      <w:r w:rsidRPr="009F61BE">
        <w:rPr>
          <w:rFonts w:ascii="Arial" w:hAnsi="Arial" w:cs="Arial"/>
          <w:spacing w:val="33"/>
          <w:sz w:val="18"/>
          <w:szCs w:val="18"/>
        </w:rPr>
        <w:t xml:space="preserve"> </w:t>
      </w:r>
      <w:r w:rsidRPr="009F61BE">
        <w:rPr>
          <w:rFonts w:ascii="Arial" w:hAnsi="Arial" w:cs="Arial"/>
          <w:sz w:val="18"/>
          <w:szCs w:val="18"/>
        </w:rPr>
        <w:t>Australian</w:t>
      </w:r>
      <w:r w:rsidRPr="009F61BE">
        <w:rPr>
          <w:rFonts w:ascii="Arial" w:hAnsi="Arial" w:cs="Arial"/>
          <w:spacing w:val="34"/>
          <w:sz w:val="18"/>
          <w:szCs w:val="18"/>
        </w:rPr>
        <w:t xml:space="preserve"> </w:t>
      </w:r>
      <w:r w:rsidRPr="009F61BE">
        <w:rPr>
          <w:rFonts w:ascii="Arial" w:hAnsi="Arial" w:cs="Arial"/>
          <w:sz w:val="18"/>
          <w:szCs w:val="18"/>
        </w:rPr>
        <w:t>Government,</w:t>
      </w:r>
      <w:r w:rsidRPr="009F61BE">
        <w:rPr>
          <w:rFonts w:ascii="Arial" w:hAnsi="Arial" w:cs="Arial"/>
          <w:spacing w:val="34"/>
          <w:sz w:val="18"/>
          <w:szCs w:val="18"/>
        </w:rPr>
        <w:t xml:space="preserve"> </w:t>
      </w:r>
      <w:r w:rsidRPr="009F61BE">
        <w:rPr>
          <w:rFonts w:ascii="Arial" w:hAnsi="Arial" w:cs="Arial"/>
          <w:sz w:val="18"/>
          <w:szCs w:val="18"/>
        </w:rPr>
        <w:t>Canberra.</w:t>
      </w:r>
      <w:r w:rsidRPr="009F61BE">
        <w:rPr>
          <w:rFonts w:ascii="Arial" w:hAnsi="Arial" w:cs="Arial"/>
          <w:spacing w:val="1"/>
          <w:sz w:val="18"/>
          <w:szCs w:val="18"/>
        </w:rPr>
        <w:t xml:space="preserve"> </w:t>
      </w:r>
      <w:r w:rsidRPr="009F61BE">
        <w:rPr>
          <w:rFonts w:ascii="Arial" w:hAnsi="Arial" w:cs="Arial"/>
          <w:sz w:val="18"/>
          <w:szCs w:val="18"/>
        </w:rPr>
        <w:t>Available</w:t>
      </w:r>
      <w:r w:rsidRPr="009F61BE">
        <w:rPr>
          <w:rFonts w:ascii="Arial" w:hAnsi="Arial" w:cs="Arial"/>
          <w:spacing w:val="7"/>
          <w:sz w:val="18"/>
          <w:szCs w:val="18"/>
        </w:rPr>
        <w:t xml:space="preserve"> </w:t>
      </w:r>
      <w:r w:rsidRPr="009F61BE">
        <w:rPr>
          <w:rFonts w:ascii="Arial" w:hAnsi="Arial" w:cs="Arial"/>
          <w:sz w:val="18"/>
          <w:szCs w:val="18"/>
        </w:rPr>
        <w:t>at</w:t>
      </w:r>
      <w:r w:rsidRPr="009F61BE">
        <w:rPr>
          <w:rFonts w:ascii="Arial" w:hAnsi="Arial" w:cs="Arial"/>
          <w:spacing w:val="7"/>
          <w:sz w:val="18"/>
          <w:szCs w:val="18"/>
        </w:rPr>
        <w:t xml:space="preserve"> </w:t>
      </w:r>
      <w:r w:rsidRPr="009F61BE">
        <w:rPr>
          <w:rFonts w:ascii="Arial" w:hAnsi="Arial" w:cs="Arial"/>
          <w:sz w:val="18"/>
          <w:szCs w:val="18"/>
        </w:rPr>
        <w:t>(</w:t>
      </w:r>
      <w:hyperlink r:id="rId2">
        <w:r w:rsidRPr="009F61BE">
          <w:rPr>
            <w:rFonts w:ascii="Arial" w:hAnsi="Arial" w:cs="Arial"/>
            <w:color w:val="215E9E"/>
            <w:sz w:val="18"/>
            <w:szCs w:val="18"/>
            <w:u w:val="single" w:color="215E9E"/>
          </w:rPr>
          <w:t>aedc.gov.au</w:t>
        </w:r>
      </w:hyperlink>
      <w:r w:rsidRPr="009F61BE">
        <w:rPr>
          <w:rFonts w:ascii="Arial" w:hAnsi="Arial" w:cs="Arial"/>
          <w:sz w:val="18"/>
          <w:szCs w:val="18"/>
        </w:rPr>
        <w:t>).</w:t>
      </w:r>
    </w:p>
  </w:footnote>
  <w:footnote w:id="3">
    <w:p w14:paraId="6DC8C0BB" w14:textId="77777777" w:rsidR="004A4EC9" w:rsidRPr="009F61BE" w:rsidRDefault="004A4EC9" w:rsidP="00B805A4">
      <w:pPr>
        <w:pStyle w:val="FootnoteText"/>
        <w:rPr>
          <w:rFonts w:ascii="Arial" w:hAnsi="Arial" w:cs="Arial"/>
          <w:sz w:val="18"/>
          <w:szCs w:val="18"/>
          <w:lang w:val="en-AU"/>
        </w:rPr>
      </w:pPr>
      <w:r>
        <w:rPr>
          <w:rStyle w:val="FootnoteReference"/>
        </w:rPr>
        <w:footnoteRef/>
      </w:r>
      <w:r>
        <w:t xml:space="preserve"> </w:t>
      </w:r>
      <w:r w:rsidRPr="009F61BE">
        <w:rPr>
          <w:rFonts w:ascii="Arial" w:hAnsi="Arial" w:cs="Arial"/>
          <w:sz w:val="18"/>
          <w:szCs w:val="18"/>
        </w:rPr>
        <w:t>Sincovich,</w:t>
      </w:r>
      <w:r w:rsidRPr="009F61BE">
        <w:rPr>
          <w:rFonts w:ascii="Arial" w:hAnsi="Arial" w:cs="Arial"/>
          <w:spacing w:val="32"/>
          <w:sz w:val="18"/>
          <w:szCs w:val="18"/>
        </w:rPr>
        <w:t xml:space="preserve"> </w:t>
      </w:r>
      <w:r w:rsidRPr="009F61BE">
        <w:rPr>
          <w:rFonts w:ascii="Arial" w:hAnsi="Arial" w:cs="Arial"/>
          <w:sz w:val="18"/>
          <w:szCs w:val="18"/>
        </w:rPr>
        <w:t>A.,</w:t>
      </w:r>
      <w:r w:rsidRPr="009F61BE">
        <w:rPr>
          <w:rFonts w:ascii="Arial" w:hAnsi="Arial" w:cs="Arial"/>
          <w:spacing w:val="32"/>
          <w:sz w:val="18"/>
          <w:szCs w:val="18"/>
        </w:rPr>
        <w:t xml:space="preserve"> </w:t>
      </w:r>
      <w:r w:rsidRPr="009F61BE">
        <w:rPr>
          <w:rFonts w:ascii="Arial" w:hAnsi="Arial" w:cs="Arial"/>
          <w:sz w:val="18"/>
          <w:szCs w:val="18"/>
        </w:rPr>
        <w:t>Harman-Smith,</w:t>
      </w:r>
      <w:r w:rsidRPr="009F61BE">
        <w:rPr>
          <w:rFonts w:ascii="Arial" w:hAnsi="Arial" w:cs="Arial"/>
          <w:spacing w:val="33"/>
          <w:sz w:val="18"/>
          <w:szCs w:val="18"/>
        </w:rPr>
        <w:t xml:space="preserve"> </w:t>
      </w:r>
      <w:r w:rsidRPr="009F61BE">
        <w:rPr>
          <w:rFonts w:ascii="Arial" w:hAnsi="Arial" w:cs="Arial"/>
          <w:sz w:val="18"/>
          <w:szCs w:val="18"/>
        </w:rPr>
        <w:t>Y.,</w:t>
      </w:r>
      <w:r w:rsidRPr="009F61BE">
        <w:rPr>
          <w:rFonts w:ascii="Arial" w:hAnsi="Arial" w:cs="Arial"/>
          <w:spacing w:val="32"/>
          <w:sz w:val="18"/>
          <w:szCs w:val="18"/>
        </w:rPr>
        <w:t xml:space="preserve"> </w:t>
      </w:r>
      <w:r w:rsidRPr="009F61BE">
        <w:rPr>
          <w:rFonts w:ascii="Arial" w:hAnsi="Arial" w:cs="Arial"/>
          <w:sz w:val="18"/>
          <w:szCs w:val="18"/>
        </w:rPr>
        <w:t>Gregory,</w:t>
      </w:r>
      <w:r w:rsidRPr="009F61BE">
        <w:rPr>
          <w:rFonts w:ascii="Arial" w:hAnsi="Arial" w:cs="Arial"/>
          <w:spacing w:val="32"/>
          <w:sz w:val="18"/>
          <w:szCs w:val="18"/>
        </w:rPr>
        <w:t xml:space="preserve"> </w:t>
      </w:r>
      <w:r w:rsidRPr="009F61BE">
        <w:rPr>
          <w:rFonts w:ascii="Arial" w:hAnsi="Arial" w:cs="Arial"/>
          <w:sz w:val="18"/>
          <w:szCs w:val="18"/>
        </w:rPr>
        <w:t>T.</w:t>
      </w:r>
      <w:r w:rsidRPr="009F61BE">
        <w:rPr>
          <w:rFonts w:ascii="Arial" w:hAnsi="Arial" w:cs="Arial"/>
          <w:spacing w:val="33"/>
          <w:sz w:val="18"/>
          <w:szCs w:val="18"/>
        </w:rPr>
        <w:t xml:space="preserve"> </w:t>
      </w:r>
      <w:r w:rsidRPr="009F61BE">
        <w:rPr>
          <w:rFonts w:ascii="Arial" w:hAnsi="Arial" w:cs="Arial"/>
          <w:sz w:val="18"/>
          <w:szCs w:val="18"/>
        </w:rPr>
        <w:t>&amp;</w:t>
      </w:r>
      <w:r w:rsidRPr="009F61BE">
        <w:rPr>
          <w:rFonts w:ascii="Arial" w:hAnsi="Arial" w:cs="Arial"/>
          <w:spacing w:val="32"/>
          <w:sz w:val="18"/>
          <w:szCs w:val="18"/>
        </w:rPr>
        <w:t xml:space="preserve"> </w:t>
      </w:r>
      <w:r w:rsidRPr="009F61BE">
        <w:rPr>
          <w:rFonts w:ascii="Arial" w:hAnsi="Arial" w:cs="Arial"/>
          <w:sz w:val="18"/>
          <w:szCs w:val="18"/>
        </w:rPr>
        <w:t>Brinkman,</w:t>
      </w:r>
      <w:r w:rsidRPr="009F61BE">
        <w:rPr>
          <w:rFonts w:ascii="Arial" w:hAnsi="Arial" w:cs="Arial"/>
          <w:spacing w:val="32"/>
          <w:sz w:val="18"/>
          <w:szCs w:val="18"/>
        </w:rPr>
        <w:t xml:space="preserve"> </w:t>
      </w:r>
      <w:r w:rsidRPr="009F61BE">
        <w:rPr>
          <w:rFonts w:ascii="Arial" w:hAnsi="Arial" w:cs="Arial"/>
          <w:sz w:val="18"/>
          <w:szCs w:val="18"/>
        </w:rPr>
        <w:t>S.</w:t>
      </w:r>
      <w:r w:rsidRPr="009F61BE">
        <w:rPr>
          <w:rFonts w:ascii="Arial" w:hAnsi="Arial" w:cs="Arial"/>
          <w:spacing w:val="33"/>
          <w:sz w:val="18"/>
          <w:szCs w:val="18"/>
        </w:rPr>
        <w:t xml:space="preserve"> </w:t>
      </w:r>
      <w:r w:rsidRPr="009F61BE">
        <w:rPr>
          <w:rFonts w:ascii="Arial" w:hAnsi="Arial" w:cs="Arial"/>
          <w:sz w:val="18"/>
          <w:szCs w:val="18"/>
        </w:rPr>
        <w:t>(2020).</w:t>
      </w:r>
      <w:r w:rsidRPr="009F61BE">
        <w:rPr>
          <w:rFonts w:ascii="Arial" w:hAnsi="Arial" w:cs="Arial"/>
          <w:spacing w:val="32"/>
          <w:sz w:val="18"/>
          <w:szCs w:val="18"/>
        </w:rPr>
        <w:t xml:space="preserve"> </w:t>
      </w:r>
      <w:r w:rsidRPr="009F61BE">
        <w:rPr>
          <w:rFonts w:ascii="Arial" w:hAnsi="Arial" w:cs="Arial"/>
          <w:sz w:val="18"/>
          <w:szCs w:val="18"/>
        </w:rPr>
        <w:t>The</w:t>
      </w:r>
      <w:r w:rsidRPr="009F61BE">
        <w:rPr>
          <w:rFonts w:ascii="Arial" w:hAnsi="Arial" w:cs="Arial"/>
          <w:spacing w:val="32"/>
          <w:sz w:val="18"/>
          <w:szCs w:val="18"/>
        </w:rPr>
        <w:t xml:space="preserve"> </w:t>
      </w:r>
      <w:r w:rsidRPr="009F61BE">
        <w:rPr>
          <w:rFonts w:ascii="Arial" w:hAnsi="Arial" w:cs="Arial"/>
          <w:sz w:val="18"/>
          <w:szCs w:val="18"/>
        </w:rPr>
        <w:t>relationship</w:t>
      </w:r>
      <w:r w:rsidRPr="009F61BE">
        <w:rPr>
          <w:rFonts w:ascii="Arial" w:hAnsi="Arial" w:cs="Arial"/>
          <w:spacing w:val="33"/>
          <w:sz w:val="18"/>
          <w:szCs w:val="18"/>
        </w:rPr>
        <w:t xml:space="preserve"> </w:t>
      </w:r>
      <w:r w:rsidRPr="009F61BE">
        <w:rPr>
          <w:rFonts w:ascii="Arial" w:hAnsi="Arial" w:cs="Arial"/>
          <w:sz w:val="18"/>
          <w:szCs w:val="18"/>
        </w:rPr>
        <w:t>between</w:t>
      </w:r>
      <w:r w:rsidRPr="009F61BE">
        <w:rPr>
          <w:rFonts w:ascii="Arial" w:hAnsi="Arial" w:cs="Arial"/>
          <w:spacing w:val="32"/>
          <w:sz w:val="18"/>
          <w:szCs w:val="18"/>
        </w:rPr>
        <w:t xml:space="preserve"> </w:t>
      </w:r>
      <w:r w:rsidRPr="009F61BE">
        <w:rPr>
          <w:rFonts w:ascii="Arial" w:hAnsi="Arial" w:cs="Arial"/>
          <w:sz w:val="18"/>
          <w:szCs w:val="18"/>
        </w:rPr>
        <w:t>early</w:t>
      </w:r>
      <w:r w:rsidRPr="009F61BE">
        <w:rPr>
          <w:rFonts w:ascii="Arial" w:hAnsi="Arial" w:cs="Arial"/>
          <w:spacing w:val="32"/>
          <w:sz w:val="18"/>
          <w:szCs w:val="18"/>
        </w:rPr>
        <w:t xml:space="preserve"> </w:t>
      </w:r>
      <w:r w:rsidRPr="009F61BE">
        <w:rPr>
          <w:rFonts w:ascii="Arial" w:hAnsi="Arial" w:cs="Arial"/>
          <w:sz w:val="18"/>
          <w:szCs w:val="18"/>
        </w:rPr>
        <w:t>childhood</w:t>
      </w:r>
      <w:r w:rsidRPr="009F61BE">
        <w:rPr>
          <w:rFonts w:ascii="Arial" w:hAnsi="Arial" w:cs="Arial"/>
          <w:spacing w:val="33"/>
          <w:sz w:val="18"/>
          <w:szCs w:val="18"/>
        </w:rPr>
        <w:t xml:space="preserve"> </w:t>
      </w:r>
      <w:r w:rsidRPr="009F61BE">
        <w:rPr>
          <w:rFonts w:ascii="Arial" w:hAnsi="Arial" w:cs="Arial"/>
          <w:sz w:val="18"/>
          <w:szCs w:val="18"/>
        </w:rPr>
        <w:t>education</w:t>
      </w:r>
      <w:r w:rsidRPr="009F61BE">
        <w:rPr>
          <w:rFonts w:ascii="Arial" w:hAnsi="Arial" w:cs="Arial"/>
          <w:spacing w:val="32"/>
          <w:sz w:val="18"/>
          <w:szCs w:val="18"/>
        </w:rPr>
        <w:t xml:space="preserve"> </w:t>
      </w:r>
      <w:r w:rsidRPr="009F61BE">
        <w:rPr>
          <w:rFonts w:ascii="Arial" w:hAnsi="Arial" w:cs="Arial"/>
          <w:sz w:val="18"/>
          <w:szCs w:val="18"/>
        </w:rPr>
        <w:t>and</w:t>
      </w:r>
      <w:r w:rsidRPr="009F61BE">
        <w:rPr>
          <w:rFonts w:ascii="Arial" w:hAnsi="Arial" w:cs="Arial"/>
          <w:spacing w:val="33"/>
          <w:sz w:val="18"/>
          <w:szCs w:val="18"/>
        </w:rPr>
        <w:t xml:space="preserve"> </w:t>
      </w:r>
      <w:r w:rsidRPr="009F61BE">
        <w:rPr>
          <w:rFonts w:ascii="Arial" w:hAnsi="Arial" w:cs="Arial"/>
          <w:sz w:val="18"/>
          <w:szCs w:val="18"/>
        </w:rPr>
        <w:t>care</w:t>
      </w:r>
      <w:r w:rsidRPr="009F61BE">
        <w:rPr>
          <w:rFonts w:ascii="Arial" w:hAnsi="Arial" w:cs="Arial"/>
          <w:spacing w:val="32"/>
          <w:sz w:val="18"/>
          <w:szCs w:val="18"/>
        </w:rPr>
        <w:t xml:space="preserve"> </w:t>
      </w:r>
      <w:r w:rsidRPr="009F61BE">
        <w:rPr>
          <w:rFonts w:ascii="Arial" w:hAnsi="Arial" w:cs="Arial"/>
          <w:sz w:val="18"/>
          <w:szCs w:val="18"/>
        </w:rPr>
        <w:t>and</w:t>
      </w:r>
      <w:r w:rsidRPr="009F61BE">
        <w:rPr>
          <w:rFonts w:ascii="Arial" w:hAnsi="Arial" w:cs="Arial"/>
          <w:spacing w:val="32"/>
          <w:sz w:val="18"/>
          <w:szCs w:val="18"/>
        </w:rPr>
        <w:t xml:space="preserve"> </w:t>
      </w:r>
      <w:r w:rsidRPr="009F61BE">
        <w:rPr>
          <w:rFonts w:ascii="Arial" w:hAnsi="Arial" w:cs="Arial"/>
          <w:sz w:val="18"/>
          <w:szCs w:val="18"/>
        </w:rPr>
        <w:t>children’s</w:t>
      </w:r>
      <w:r w:rsidRPr="009F61BE">
        <w:rPr>
          <w:rFonts w:ascii="Arial" w:hAnsi="Arial" w:cs="Arial"/>
          <w:spacing w:val="33"/>
          <w:sz w:val="18"/>
          <w:szCs w:val="18"/>
        </w:rPr>
        <w:t xml:space="preserve"> </w:t>
      </w:r>
      <w:r w:rsidRPr="009F61BE">
        <w:rPr>
          <w:rFonts w:ascii="Arial" w:hAnsi="Arial" w:cs="Arial"/>
          <w:sz w:val="18"/>
          <w:szCs w:val="18"/>
        </w:rPr>
        <w:t>development</w:t>
      </w:r>
      <w:r w:rsidRPr="009F61BE">
        <w:rPr>
          <w:rFonts w:ascii="Arial" w:hAnsi="Arial" w:cs="Arial"/>
          <w:spacing w:val="32"/>
          <w:sz w:val="18"/>
          <w:szCs w:val="18"/>
        </w:rPr>
        <w:t xml:space="preserve"> </w:t>
      </w:r>
      <w:r w:rsidRPr="009F61BE">
        <w:rPr>
          <w:rFonts w:ascii="Arial" w:hAnsi="Arial" w:cs="Arial"/>
          <w:sz w:val="18"/>
          <w:szCs w:val="18"/>
        </w:rPr>
        <w:t>(AEDC</w:t>
      </w:r>
      <w:r w:rsidRPr="009F61BE">
        <w:rPr>
          <w:rFonts w:ascii="Arial" w:hAnsi="Arial" w:cs="Arial"/>
          <w:spacing w:val="32"/>
          <w:sz w:val="18"/>
          <w:szCs w:val="18"/>
        </w:rPr>
        <w:t xml:space="preserve"> </w:t>
      </w:r>
      <w:r w:rsidRPr="009F61BE">
        <w:rPr>
          <w:rFonts w:ascii="Arial" w:hAnsi="Arial" w:cs="Arial"/>
          <w:sz w:val="18"/>
          <w:szCs w:val="18"/>
        </w:rPr>
        <w:t>Research</w:t>
      </w:r>
      <w:r w:rsidRPr="009F61BE">
        <w:rPr>
          <w:rFonts w:ascii="Arial" w:hAnsi="Arial" w:cs="Arial"/>
          <w:spacing w:val="33"/>
          <w:sz w:val="18"/>
          <w:szCs w:val="18"/>
        </w:rPr>
        <w:t xml:space="preserve"> </w:t>
      </w:r>
      <w:r w:rsidRPr="009F61BE">
        <w:rPr>
          <w:rFonts w:ascii="Arial" w:hAnsi="Arial" w:cs="Arial"/>
          <w:sz w:val="18"/>
          <w:szCs w:val="18"/>
        </w:rPr>
        <w:t>Snapshot).</w:t>
      </w:r>
      <w:r w:rsidRPr="009F61BE">
        <w:rPr>
          <w:rFonts w:ascii="Arial" w:hAnsi="Arial" w:cs="Arial"/>
          <w:spacing w:val="1"/>
          <w:sz w:val="18"/>
          <w:szCs w:val="18"/>
        </w:rPr>
        <w:t xml:space="preserve"> </w:t>
      </w:r>
      <w:r w:rsidRPr="009F61BE">
        <w:rPr>
          <w:rFonts w:ascii="Arial" w:hAnsi="Arial" w:cs="Arial"/>
          <w:sz w:val="18"/>
          <w:szCs w:val="18"/>
        </w:rPr>
        <w:t>Australian</w:t>
      </w:r>
      <w:r w:rsidRPr="009F61BE">
        <w:rPr>
          <w:rFonts w:ascii="Arial" w:hAnsi="Arial" w:cs="Arial"/>
          <w:spacing w:val="8"/>
          <w:sz w:val="18"/>
          <w:szCs w:val="18"/>
        </w:rPr>
        <w:t xml:space="preserve"> </w:t>
      </w:r>
      <w:r w:rsidRPr="009F61BE">
        <w:rPr>
          <w:rFonts w:ascii="Arial" w:hAnsi="Arial" w:cs="Arial"/>
          <w:sz w:val="18"/>
          <w:szCs w:val="18"/>
        </w:rPr>
        <w:t>Government,</w:t>
      </w:r>
      <w:r w:rsidRPr="009F61BE">
        <w:rPr>
          <w:rFonts w:ascii="Arial" w:hAnsi="Arial" w:cs="Arial"/>
          <w:spacing w:val="8"/>
          <w:sz w:val="18"/>
          <w:szCs w:val="18"/>
        </w:rPr>
        <w:t xml:space="preserve"> </w:t>
      </w:r>
      <w:r w:rsidRPr="009F61BE">
        <w:rPr>
          <w:rFonts w:ascii="Arial" w:hAnsi="Arial" w:cs="Arial"/>
          <w:sz w:val="18"/>
          <w:szCs w:val="18"/>
        </w:rPr>
        <w:t>Canberra.</w:t>
      </w:r>
      <w:r w:rsidRPr="009F61BE">
        <w:rPr>
          <w:rFonts w:ascii="Arial" w:hAnsi="Arial" w:cs="Arial"/>
          <w:spacing w:val="8"/>
          <w:sz w:val="18"/>
          <w:szCs w:val="18"/>
        </w:rPr>
        <w:t xml:space="preserve"> </w:t>
      </w:r>
      <w:r w:rsidRPr="009F61BE">
        <w:rPr>
          <w:rFonts w:ascii="Arial" w:hAnsi="Arial" w:cs="Arial"/>
          <w:sz w:val="18"/>
          <w:szCs w:val="18"/>
        </w:rPr>
        <w:t>Available</w:t>
      </w:r>
      <w:r w:rsidRPr="009F61BE">
        <w:rPr>
          <w:rFonts w:ascii="Arial" w:hAnsi="Arial" w:cs="Arial"/>
          <w:spacing w:val="8"/>
          <w:sz w:val="18"/>
          <w:szCs w:val="18"/>
        </w:rPr>
        <w:t xml:space="preserve"> </w:t>
      </w:r>
      <w:r w:rsidRPr="009F61BE">
        <w:rPr>
          <w:rFonts w:ascii="Arial" w:hAnsi="Arial" w:cs="Arial"/>
          <w:sz w:val="18"/>
          <w:szCs w:val="18"/>
        </w:rPr>
        <w:t>at</w:t>
      </w:r>
      <w:r w:rsidRPr="009F61BE">
        <w:rPr>
          <w:rFonts w:ascii="Arial" w:hAnsi="Arial" w:cs="Arial"/>
          <w:spacing w:val="8"/>
          <w:sz w:val="18"/>
          <w:szCs w:val="18"/>
        </w:rPr>
        <w:t xml:space="preserve"> </w:t>
      </w:r>
      <w:r w:rsidRPr="009F61BE">
        <w:rPr>
          <w:rFonts w:ascii="Arial" w:hAnsi="Arial" w:cs="Arial"/>
          <w:sz w:val="18"/>
          <w:szCs w:val="18"/>
        </w:rPr>
        <w:t>(</w:t>
      </w:r>
      <w:hyperlink r:id="rId3">
        <w:r w:rsidRPr="009F61BE">
          <w:rPr>
            <w:rFonts w:ascii="Arial" w:hAnsi="Arial" w:cs="Arial"/>
            <w:color w:val="215E9E"/>
            <w:sz w:val="18"/>
            <w:szCs w:val="18"/>
            <w:u w:val="single" w:color="215E9E"/>
          </w:rPr>
          <w:t>aedc.gov.au</w:t>
        </w:r>
      </w:hyperlink>
      <w:r w:rsidRPr="009F61BE">
        <w:rPr>
          <w:rFonts w:ascii="Arial" w:hAnsi="Arial" w:cs="Arial"/>
          <w:sz w:val="18"/>
          <w:szCs w:val="18"/>
        </w:rPr>
        <w:t>).</w:t>
      </w:r>
    </w:p>
  </w:footnote>
  <w:footnote w:id="4">
    <w:p w14:paraId="3E7BF7BC" w14:textId="329EAD65" w:rsidR="004A4EC9" w:rsidRPr="00DF5505" w:rsidRDefault="004A4EC9">
      <w:pPr>
        <w:pStyle w:val="FootnoteText"/>
        <w:rPr>
          <w:sz w:val="18"/>
          <w:szCs w:val="18"/>
          <w:lang w:val="en-AU"/>
        </w:rPr>
      </w:pPr>
      <w:r>
        <w:rPr>
          <w:rStyle w:val="FootnoteReference"/>
        </w:rPr>
        <w:footnoteRef/>
      </w:r>
      <w:r>
        <w:t xml:space="preserve"> </w:t>
      </w:r>
      <w:r w:rsidRPr="00DF5505">
        <w:rPr>
          <w:sz w:val="18"/>
          <w:szCs w:val="18"/>
        </w:rPr>
        <w:t>Janus, M., &amp; Offord, D. (2007). Development and Psychometric Properties of the Early Development Instrument (EDI): A Measure of Children’s School Readiness. Canadian Journal of Behavioural Science, 39(1), 1-22. doi: 10.1037/cjbs2007001</w:t>
      </w:r>
    </w:p>
  </w:footnote>
  <w:footnote w:id="5">
    <w:p w14:paraId="116ED792" w14:textId="0C601AAD" w:rsidR="004A4EC9" w:rsidRPr="003844C1" w:rsidRDefault="004A4EC9">
      <w:pPr>
        <w:pStyle w:val="FootnoteText"/>
        <w:rPr>
          <w:rFonts w:ascii="Arial" w:hAnsi="Arial" w:cs="Arial"/>
          <w:sz w:val="18"/>
          <w:szCs w:val="18"/>
          <w:lang w:val="en-AU"/>
        </w:rPr>
      </w:pPr>
      <w:r>
        <w:rPr>
          <w:rStyle w:val="FootnoteReference"/>
        </w:rPr>
        <w:footnoteRef/>
      </w:r>
      <w:r>
        <w:t xml:space="preserve"> </w:t>
      </w:r>
      <w:r w:rsidRPr="003844C1">
        <w:rPr>
          <w:rFonts w:ascii="Arial" w:hAnsi="Arial" w:cs="Arial"/>
          <w:sz w:val="18"/>
          <w:szCs w:val="18"/>
        </w:rPr>
        <w:t>UANP</w:t>
      </w:r>
      <w:r w:rsidRPr="003844C1">
        <w:rPr>
          <w:rFonts w:ascii="Arial" w:hAnsi="Arial" w:cs="Arial"/>
          <w:spacing w:val="32"/>
          <w:sz w:val="18"/>
          <w:szCs w:val="18"/>
        </w:rPr>
        <w:t xml:space="preserve"> </w:t>
      </w:r>
      <w:r w:rsidRPr="003844C1">
        <w:rPr>
          <w:rFonts w:ascii="Arial" w:hAnsi="Arial" w:cs="Arial"/>
          <w:sz w:val="18"/>
          <w:szCs w:val="18"/>
        </w:rPr>
        <w:t>Review:</w:t>
      </w:r>
      <w:r w:rsidRPr="003844C1">
        <w:rPr>
          <w:rFonts w:ascii="Arial" w:hAnsi="Arial" w:cs="Arial"/>
          <w:spacing w:val="32"/>
          <w:sz w:val="18"/>
          <w:szCs w:val="18"/>
        </w:rPr>
        <w:t xml:space="preserve"> </w:t>
      </w:r>
      <w:r w:rsidRPr="003844C1">
        <w:rPr>
          <w:rFonts w:ascii="Arial" w:hAnsi="Arial" w:cs="Arial"/>
          <w:sz w:val="18"/>
          <w:szCs w:val="18"/>
        </w:rPr>
        <w:t>Final</w:t>
      </w:r>
      <w:r w:rsidRPr="003844C1">
        <w:rPr>
          <w:rFonts w:ascii="Arial" w:hAnsi="Arial" w:cs="Arial"/>
          <w:spacing w:val="32"/>
          <w:sz w:val="18"/>
          <w:szCs w:val="18"/>
        </w:rPr>
        <w:t xml:space="preserve"> </w:t>
      </w:r>
      <w:r w:rsidRPr="003844C1">
        <w:rPr>
          <w:rFonts w:ascii="Arial" w:hAnsi="Arial" w:cs="Arial"/>
          <w:sz w:val="18"/>
          <w:szCs w:val="18"/>
        </w:rPr>
        <w:t>Review</w:t>
      </w:r>
      <w:r w:rsidRPr="003844C1">
        <w:rPr>
          <w:rFonts w:ascii="Arial" w:hAnsi="Arial" w:cs="Arial"/>
          <w:spacing w:val="32"/>
          <w:sz w:val="18"/>
          <w:szCs w:val="18"/>
        </w:rPr>
        <w:t xml:space="preserve"> </w:t>
      </w:r>
      <w:r w:rsidRPr="003844C1">
        <w:rPr>
          <w:rFonts w:ascii="Arial" w:hAnsi="Arial" w:cs="Arial"/>
          <w:sz w:val="18"/>
          <w:szCs w:val="18"/>
        </w:rPr>
        <w:t>Report.</w:t>
      </w:r>
      <w:r w:rsidRPr="003844C1">
        <w:rPr>
          <w:rFonts w:ascii="Arial" w:hAnsi="Arial" w:cs="Arial"/>
          <w:spacing w:val="31"/>
          <w:sz w:val="18"/>
          <w:szCs w:val="18"/>
        </w:rPr>
        <w:t xml:space="preserve"> </w:t>
      </w:r>
      <w:r w:rsidRPr="003844C1">
        <w:rPr>
          <w:rFonts w:ascii="Arial" w:hAnsi="Arial" w:cs="Arial"/>
          <w:sz w:val="18"/>
          <w:szCs w:val="18"/>
        </w:rPr>
        <w:t>COAG</w:t>
      </w:r>
      <w:r w:rsidRPr="003844C1">
        <w:rPr>
          <w:rFonts w:ascii="Arial" w:hAnsi="Arial" w:cs="Arial"/>
          <w:spacing w:val="32"/>
          <w:sz w:val="18"/>
          <w:szCs w:val="18"/>
        </w:rPr>
        <w:t xml:space="preserve"> </w:t>
      </w:r>
      <w:r w:rsidRPr="003844C1">
        <w:rPr>
          <w:rFonts w:ascii="Arial" w:hAnsi="Arial" w:cs="Arial"/>
          <w:sz w:val="18"/>
          <w:szCs w:val="18"/>
        </w:rPr>
        <w:t>Education</w:t>
      </w:r>
      <w:r w:rsidRPr="003844C1">
        <w:rPr>
          <w:rFonts w:ascii="Arial" w:hAnsi="Arial" w:cs="Arial"/>
          <w:spacing w:val="32"/>
          <w:sz w:val="18"/>
          <w:szCs w:val="18"/>
        </w:rPr>
        <w:t xml:space="preserve"> </w:t>
      </w:r>
      <w:r w:rsidRPr="003844C1">
        <w:rPr>
          <w:rFonts w:ascii="Arial" w:hAnsi="Arial" w:cs="Arial"/>
          <w:sz w:val="18"/>
          <w:szCs w:val="18"/>
        </w:rPr>
        <w:t>Council</w:t>
      </w:r>
      <w:r w:rsidRPr="003844C1">
        <w:rPr>
          <w:rFonts w:ascii="Arial" w:hAnsi="Arial" w:cs="Arial"/>
          <w:spacing w:val="32"/>
          <w:sz w:val="18"/>
          <w:szCs w:val="18"/>
        </w:rPr>
        <w:t xml:space="preserve"> </w:t>
      </w:r>
      <w:r w:rsidRPr="003844C1">
        <w:rPr>
          <w:rFonts w:ascii="Arial" w:hAnsi="Arial" w:cs="Arial"/>
          <w:sz w:val="18"/>
          <w:szCs w:val="18"/>
        </w:rPr>
        <w:t>October</w:t>
      </w:r>
      <w:r w:rsidRPr="003844C1">
        <w:rPr>
          <w:rFonts w:ascii="Arial" w:hAnsi="Arial" w:cs="Arial"/>
          <w:spacing w:val="32"/>
          <w:sz w:val="18"/>
          <w:szCs w:val="18"/>
        </w:rPr>
        <w:t xml:space="preserve"> </w:t>
      </w:r>
      <w:r w:rsidRPr="003844C1">
        <w:rPr>
          <w:rFonts w:ascii="Arial" w:hAnsi="Arial" w:cs="Arial"/>
          <w:sz w:val="18"/>
          <w:szCs w:val="18"/>
        </w:rPr>
        <w:t>2020.</w:t>
      </w:r>
    </w:p>
  </w:footnote>
  <w:footnote w:id="6">
    <w:p w14:paraId="1A5F9CC1" w14:textId="3AC02073" w:rsidR="004A4EC9" w:rsidRPr="003844C1" w:rsidRDefault="004A4EC9">
      <w:pPr>
        <w:pStyle w:val="FootnoteText"/>
        <w:rPr>
          <w:rFonts w:ascii="Arial" w:hAnsi="Arial" w:cs="Arial"/>
          <w:sz w:val="18"/>
          <w:szCs w:val="18"/>
          <w:lang w:val="en-AU"/>
        </w:rPr>
      </w:pPr>
      <w:r>
        <w:rPr>
          <w:rStyle w:val="FootnoteReference"/>
        </w:rPr>
        <w:footnoteRef/>
      </w:r>
      <w:r>
        <w:t xml:space="preserve"> </w:t>
      </w:r>
      <w:bookmarkStart w:id="6" w:name="_Hlk99458238"/>
      <w:r w:rsidRPr="003844C1">
        <w:rPr>
          <w:rFonts w:ascii="Arial" w:hAnsi="Arial" w:cs="Arial"/>
          <w:sz w:val="18"/>
          <w:szCs w:val="18"/>
        </w:rPr>
        <w:t>Australian</w:t>
      </w:r>
      <w:r w:rsidRPr="003844C1">
        <w:rPr>
          <w:rFonts w:ascii="Arial" w:hAnsi="Arial" w:cs="Arial"/>
          <w:spacing w:val="37"/>
          <w:sz w:val="18"/>
          <w:szCs w:val="18"/>
        </w:rPr>
        <w:t xml:space="preserve"> </w:t>
      </w:r>
      <w:r w:rsidRPr="003844C1">
        <w:rPr>
          <w:rFonts w:ascii="Arial" w:hAnsi="Arial" w:cs="Arial"/>
          <w:sz w:val="18"/>
          <w:szCs w:val="18"/>
        </w:rPr>
        <w:t>Children’s</w:t>
      </w:r>
      <w:r w:rsidRPr="003844C1">
        <w:rPr>
          <w:rFonts w:ascii="Arial" w:hAnsi="Arial" w:cs="Arial"/>
          <w:spacing w:val="36"/>
          <w:sz w:val="18"/>
          <w:szCs w:val="18"/>
        </w:rPr>
        <w:t xml:space="preserve"> </w:t>
      </w:r>
      <w:r w:rsidRPr="003844C1">
        <w:rPr>
          <w:rFonts w:ascii="Arial" w:hAnsi="Arial" w:cs="Arial"/>
          <w:sz w:val="18"/>
          <w:szCs w:val="18"/>
        </w:rPr>
        <w:t>Education</w:t>
      </w:r>
      <w:r w:rsidRPr="003844C1">
        <w:rPr>
          <w:rFonts w:ascii="Arial" w:hAnsi="Arial" w:cs="Arial"/>
          <w:spacing w:val="36"/>
          <w:sz w:val="18"/>
          <w:szCs w:val="18"/>
        </w:rPr>
        <w:t xml:space="preserve"> </w:t>
      </w:r>
      <w:r w:rsidRPr="003844C1">
        <w:rPr>
          <w:rFonts w:ascii="Arial" w:hAnsi="Arial" w:cs="Arial"/>
          <w:sz w:val="18"/>
          <w:szCs w:val="18"/>
        </w:rPr>
        <w:t>&amp;</w:t>
      </w:r>
      <w:r w:rsidRPr="003844C1">
        <w:rPr>
          <w:rFonts w:ascii="Arial" w:hAnsi="Arial" w:cs="Arial"/>
          <w:spacing w:val="37"/>
          <w:sz w:val="18"/>
          <w:szCs w:val="18"/>
        </w:rPr>
        <w:t xml:space="preserve"> </w:t>
      </w:r>
      <w:r w:rsidRPr="003844C1">
        <w:rPr>
          <w:rFonts w:ascii="Arial" w:hAnsi="Arial" w:cs="Arial"/>
          <w:sz w:val="18"/>
          <w:szCs w:val="18"/>
        </w:rPr>
        <w:t>Care</w:t>
      </w:r>
      <w:r w:rsidRPr="003844C1">
        <w:rPr>
          <w:rFonts w:ascii="Arial" w:hAnsi="Arial" w:cs="Arial"/>
          <w:spacing w:val="36"/>
          <w:sz w:val="18"/>
          <w:szCs w:val="18"/>
        </w:rPr>
        <w:t xml:space="preserve"> </w:t>
      </w:r>
      <w:r w:rsidRPr="003844C1">
        <w:rPr>
          <w:rFonts w:ascii="Arial" w:hAnsi="Arial" w:cs="Arial"/>
          <w:sz w:val="18"/>
          <w:szCs w:val="18"/>
        </w:rPr>
        <w:t>Quality</w:t>
      </w:r>
      <w:r w:rsidRPr="003844C1">
        <w:rPr>
          <w:rFonts w:ascii="Arial" w:hAnsi="Arial" w:cs="Arial"/>
          <w:spacing w:val="36"/>
          <w:sz w:val="18"/>
          <w:szCs w:val="18"/>
        </w:rPr>
        <w:t xml:space="preserve"> </w:t>
      </w:r>
      <w:r w:rsidRPr="003844C1">
        <w:rPr>
          <w:rFonts w:ascii="Arial" w:hAnsi="Arial" w:cs="Arial"/>
          <w:sz w:val="18"/>
          <w:szCs w:val="18"/>
        </w:rPr>
        <w:t>Authority</w:t>
      </w:r>
      <w:r w:rsidRPr="003844C1">
        <w:rPr>
          <w:rFonts w:ascii="Arial" w:hAnsi="Arial" w:cs="Arial"/>
          <w:spacing w:val="37"/>
          <w:sz w:val="18"/>
          <w:szCs w:val="18"/>
        </w:rPr>
        <w:t xml:space="preserve"> </w:t>
      </w:r>
      <w:r w:rsidRPr="003844C1">
        <w:rPr>
          <w:rFonts w:ascii="Arial" w:hAnsi="Arial" w:cs="Arial"/>
          <w:sz w:val="18"/>
          <w:szCs w:val="18"/>
        </w:rPr>
        <w:t>Annual</w:t>
      </w:r>
      <w:r w:rsidRPr="003844C1">
        <w:rPr>
          <w:rFonts w:ascii="Arial" w:hAnsi="Arial" w:cs="Arial"/>
          <w:spacing w:val="36"/>
          <w:sz w:val="18"/>
          <w:szCs w:val="18"/>
        </w:rPr>
        <w:t xml:space="preserve"> </w:t>
      </w:r>
      <w:r w:rsidRPr="003844C1">
        <w:rPr>
          <w:rFonts w:ascii="Arial" w:hAnsi="Arial" w:cs="Arial"/>
          <w:sz w:val="18"/>
          <w:szCs w:val="18"/>
        </w:rPr>
        <w:t>Report</w:t>
      </w:r>
      <w:r w:rsidRPr="003844C1">
        <w:rPr>
          <w:rFonts w:ascii="Arial" w:hAnsi="Arial" w:cs="Arial"/>
          <w:spacing w:val="36"/>
          <w:sz w:val="18"/>
          <w:szCs w:val="18"/>
        </w:rPr>
        <w:t xml:space="preserve"> </w:t>
      </w:r>
      <w:r w:rsidRPr="003844C1">
        <w:rPr>
          <w:rFonts w:ascii="Arial" w:hAnsi="Arial" w:cs="Arial"/>
          <w:sz w:val="18"/>
          <w:szCs w:val="18"/>
        </w:rPr>
        <w:t>2020-2021.</w:t>
      </w:r>
      <w:bookmarkEnd w:id="6"/>
    </w:p>
  </w:footnote>
  <w:footnote w:id="7">
    <w:p w14:paraId="62690D4F" w14:textId="67C86174" w:rsidR="004A4EC9" w:rsidRPr="00BB146E" w:rsidRDefault="004A4EC9">
      <w:pPr>
        <w:pStyle w:val="FootnoteText"/>
        <w:rPr>
          <w:rFonts w:ascii="Arial" w:hAnsi="Arial" w:cs="Arial"/>
          <w:sz w:val="18"/>
          <w:szCs w:val="18"/>
          <w:lang w:val="en-AU"/>
        </w:rPr>
      </w:pPr>
      <w:r>
        <w:rPr>
          <w:rStyle w:val="FootnoteReference"/>
        </w:rPr>
        <w:footnoteRef/>
      </w:r>
      <w:r>
        <w:t xml:space="preserve"> </w:t>
      </w:r>
      <w:r w:rsidRPr="00BB146E">
        <w:rPr>
          <w:rFonts w:ascii="Arial" w:hAnsi="Arial" w:cs="Arial"/>
          <w:sz w:val="18"/>
          <w:szCs w:val="18"/>
        </w:rPr>
        <w:t>Goldfeld, S., O’Connor, E., Sung, V., Roberts, G., Wake, M., West, S., &amp; Hiscock, H. (2022). Potential indirect impacts of the COVID-19 pandemic on children: a narrative review using a community child health lens. Medical Journal of Australia.</w:t>
      </w:r>
    </w:p>
  </w:footnote>
  <w:footnote w:id="8">
    <w:p w14:paraId="4101E35B" w14:textId="180F4475" w:rsidR="004A4EC9" w:rsidRPr="0081002F" w:rsidRDefault="004A4EC9">
      <w:pPr>
        <w:pStyle w:val="FootnoteText"/>
        <w:rPr>
          <w:lang w:val="en-AU"/>
        </w:rPr>
      </w:pPr>
      <w:r>
        <w:rPr>
          <w:rStyle w:val="FootnoteReference"/>
        </w:rPr>
        <w:footnoteRef/>
      </w:r>
      <w:r>
        <w:t xml:space="preserve"> </w:t>
      </w:r>
      <w:r w:rsidRPr="0081002F">
        <w:t>Total for LBOTE includes children who are NOT proficient in English, children who ARE proficient in English, as well as children whose proficiency in English is unknown.</w:t>
      </w:r>
    </w:p>
  </w:footnote>
  <w:footnote w:id="9">
    <w:p w14:paraId="50A9D96D" w14:textId="266DA351" w:rsidR="004A4EC9" w:rsidRPr="0081002F" w:rsidRDefault="004A4EC9">
      <w:pPr>
        <w:pStyle w:val="FootnoteText"/>
        <w:rPr>
          <w:lang w:val="en-AU"/>
        </w:rPr>
      </w:pPr>
      <w:r>
        <w:rPr>
          <w:rStyle w:val="FootnoteReference"/>
        </w:rPr>
        <w:footnoteRef/>
      </w:r>
      <w:r>
        <w:t xml:space="preserve"> </w:t>
      </w:r>
      <w:r w:rsidRPr="0081002F">
        <w:t>Total children who speak only English at home includes children who are NOT proficient in English, children who ARE proficient in English, as well as children whose proficiency in English is unknown Aboriginal and Torres Strait Islander children who have LBOTE status are part of the LBOTE group. That is, it is possible for children to be both Aboriginal and Torres Strait Islander and have LBOTE status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CAE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C8D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AE6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54C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3A69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CC0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A2D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1A8E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A60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FE0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06CC1"/>
    <w:multiLevelType w:val="hybridMultilevel"/>
    <w:tmpl w:val="1002736E"/>
    <w:lvl w:ilvl="0" w:tplc="B9A0CB6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D327C27"/>
    <w:multiLevelType w:val="hybridMultilevel"/>
    <w:tmpl w:val="D57E0516"/>
    <w:lvl w:ilvl="0" w:tplc="6B1A21A8">
      <w:start w:val="1"/>
      <w:numFmt w:val="bullet"/>
      <w:pStyle w:val="Bullets1"/>
      <w:lvlText w:val=""/>
      <w:lvlJc w:val="left"/>
      <w:pPr>
        <w:ind w:left="720" w:hanging="360"/>
      </w:pPr>
      <w:rPr>
        <w:rFonts w:ascii="Symbol" w:hAnsi="Symbol" w:hint="default"/>
        <w:u w:color="1C36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2775B"/>
    <w:multiLevelType w:val="multilevel"/>
    <w:tmpl w:val="B94E7772"/>
    <w:lvl w:ilvl="0">
      <w:start w:val="1"/>
      <w:numFmt w:val="decimal"/>
      <w:lvlText w:val="%1"/>
      <w:lvlJc w:val="left"/>
      <w:pPr>
        <w:ind w:left="432" w:hanging="432"/>
      </w:pPr>
      <w:rPr>
        <w:rFonts w:hint="default"/>
        <w:color w:val="A6C12E"/>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color w:val="A6C12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AC51BB0"/>
    <w:multiLevelType w:val="hybridMultilevel"/>
    <w:tmpl w:val="E72C2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136DC3"/>
    <w:multiLevelType w:val="multilevel"/>
    <w:tmpl w:val="6A4C6E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CC4FEE"/>
    <w:multiLevelType w:val="multilevel"/>
    <w:tmpl w:val="039CB816"/>
    <w:lvl w:ilvl="0">
      <w:start w:val="1"/>
      <w:numFmt w:val="decimal"/>
      <w:lvlText w:val="%1."/>
      <w:lvlJc w:val="left"/>
      <w:pPr>
        <w:tabs>
          <w:tab w:val="num" w:pos="0"/>
        </w:tabs>
        <w:ind w:left="0" w:hanging="1134"/>
      </w:pPr>
      <w:rPr>
        <w:sz w:val="20"/>
      </w:rPr>
    </w:lvl>
    <w:lvl w:ilvl="1">
      <w:start w:val="1"/>
      <w:numFmt w:val="decimal"/>
      <w:lvlText w:val="%1.%2."/>
      <w:lvlJc w:val="left"/>
      <w:pPr>
        <w:tabs>
          <w:tab w:val="num" w:pos="0"/>
        </w:tabs>
        <w:ind w:left="0" w:hanging="1134"/>
      </w:pPr>
      <w:rPr>
        <w:sz w:val="20"/>
      </w:rPr>
    </w:lvl>
    <w:lvl w:ilvl="2">
      <w:start w:val="1"/>
      <w:numFmt w:val="lowerLetter"/>
      <w:lvlText w:val="%3."/>
      <w:lvlJc w:val="left"/>
      <w:pPr>
        <w:tabs>
          <w:tab w:val="num" w:pos="567"/>
        </w:tabs>
        <w:ind w:left="567" w:hanging="425"/>
      </w:pPr>
    </w:lvl>
    <w:lvl w:ilvl="3">
      <w:start w:val="1"/>
      <w:numFmt w:val="upperLetter"/>
      <w:lvlText w:val="%4."/>
      <w:lvlJc w:val="left"/>
      <w:pPr>
        <w:tabs>
          <w:tab w:val="num" w:pos="850"/>
        </w:tabs>
        <w:ind w:left="850" w:hanging="425"/>
      </w:pPr>
    </w:lvl>
    <w:lvl w:ilvl="4">
      <w:start w:val="1"/>
      <w:numFmt w:val="upperLetter"/>
      <w:lvlText w:val="%4."/>
      <w:lvlJc w:val="left"/>
      <w:pPr>
        <w:tabs>
          <w:tab w:val="num" w:pos="850"/>
        </w:tabs>
        <w:ind w:left="850" w:hanging="425"/>
      </w:pPr>
    </w:lvl>
    <w:lvl w:ilvl="5">
      <w:start w:val="1"/>
      <w:numFmt w:val="upperLetter"/>
      <w:lvlText w:val="%4."/>
      <w:lvlJc w:val="left"/>
      <w:pPr>
        <w:tabs>
          <w:tab w:val="num" w:pos="850"/>
        </w:tabs>
        <w:ind w:left="850" w:hanging="425"/>
      </w:pPr>
    </w:lvl>
    <w:lvl w:ilvl="6">
      <w:start w:val="1"/>
      <w:numFmt w:val="upperLetter"/>
      <w:lvlText w:val="%4."/>
      <w:lvlJc w:val="left"/>
      <w:pPr>
        <w:tabs>
          <w:tab w:val="num" w:pos="850"/>
        </w:tabs>
        <w:ind w:left="850" w:hanging="425"/>
      </w:pPr>
    </w:lvl>
    <w:lvl w:ilvl="7">
      <w:start w:val="1"/>
      <w:numFmt w:val="upperLetter"/>
      <w:lvlText w:val="%4."/>
      <w:lvlJc w:val="left"/>
      <w:pPr>
        <w:tabs>
          <w:tab w:val="num" w:pos="850"/>
        </w:tabs>
        <w:ind w:left="850" w:hanging="425"/>
      </w:pPr>
    </w:lvl>
    <w:lvl w:ilvl="8">
      <w:start w:val="1"/>
      <w:numFmt w:val="upperLetter"/>
      <w:lvlText w:val="%4."/>
      <w:lvlJc w:val="left"/>
      <w:pPr>
        <w:tabs>
          <w:tab w:val="num" w:pos="850"/>
        </w:tabs>
        <w:ind w:left="850" w:hanging="425"/>
      </w:pPr>
    </w:lvl>
  </w:abstractNum>
  <w:abstractNum w:abstractNumId="17" w15:restartNumberingAfterBreak="0">
    <w:nsid w:val="36743EFD"/>
    <w:multiLevelType w:val="multilevel"/>
    <w:tmpl w:val="94947456"/>
    <w:lvl w:ilvl="0">
      <w:start w:val="1"/>
      <w:numFmt w:val="decimal"/>
      <w:lvlText w:val="%1."/>
      <w:lvlJc w:val="left"/>
      <w:pPr>
        <w:ind w:left="851" w:hanging="851"/>
      </w:pPr>
      <w:rPr>
        <w:rFonts w:ascii="Franklin Gothic Book" w:hAnsi="Franklin Gothic Book" w:hint="default"/>
        <w:b/>
        <w:i w:val="0"/>
        <w:sz w:val="28"/>
      </w:rPr>
    </w:lvl>
    <w:lvl w:ilvl="1">
      <w:start w:val="1"/>
      <w:numFmt w:val="decimal"/>
      <w:lvlText w:val="%1.%2"/>
      <w:lvlJc w:val="left"/>
      <w:pPr>
        <w:ind w:left="851" w:hanging="851"/>
      </w:pPr>
      <w:rPr>
        <w:rFonts w:ascii="Franklin Gothic Book" w:hAnsi="Franklin Gothic Book" w:hint="default"/>
        <w:b/>
        <w:i w:val="0"/>
        <w:color w:val="A6C12E"/>
        <w:sz w:val="24"/>
      </w:rPr>
    </w:lvl>
    <w:lvl w:ilvl="2">
      <w:start w:val="1"/>
      <w:numFmt w:val="decimal"/>
      <w:lvlText w:val="%1.%2%3"/>
      <w:lvlJc w:val="left"/>
      <w:pPr>
        <w:ind w:left="851" w:hanging="851"/>
      </w:pPr>
      <w:rPr>
        <w:rFonts w:ascii="Franklin Gothic Book" w:hAnsi="Franklin Gothic Book" w:hint="default"/>
        <w:b/>
        <w:i w:val="0"/>
        <w:color w:val="A6C12E"/>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223D37"/>
    <w:multiLevelType w:val="hybridMultilevel"/>
    <w:tmpl w:val="4FB0A4BC"/>
    <w:lvl w:ilvl="0" w:tplc="56684908">
      <w:start w:val="1"/>
      <w:numFmt w:val="decimal"/>
      <w:lvlText w:val="Graph %1 : "/>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3D8841FF"/>
    <w:multiLevelType w:val="multilevel"/>
    <w:tmpl w:val="4572B1DE"/>
    <w:lvl w:ilvl="0">
      <w:start w:val="1"/>
      <w:numFmt w:val="bullet"/>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EE763AF"/>
    <w:multiLevelType w:val="singleLevel"/>
    <w:tmpl w:val="37182382"/>
    <w:lvl w:ilvl="0">
      <w:start w:val="1"/>
      <w:numFmt w:val="upperRoman"/>
      <w:lvlText w:val="%1."/>
      <w:lvlJc w:val="left"/>
      <w:pPr>
        <w:tabs>
          <w:tab w:val="num" w:pos="720"/>
        </w:tabs>
        <w:ind w:left="720" w:hanging="720"/>
      </w:pPr>
    </w:lvl>
  </w:abstractNum>
  <w:abstractNum w:abstractNumId="21" w15:restartNumberingAfterBreak="0">
    <w:nsid w:val="42BD0D63"/>
    <w:multiLevelType w:val="hybridMultilevel"/>
    <w:tmpl w:val="A1FA8A8C"/>
    <w:lvl w:ilvl="0" w:tplc="D34A72E0">
      <w:start w:val="1"/>
      <w:numFmt w:val="decimal"/>
      <w:lvlText w:val="Table %1 : "/>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2" w15:restartNumberingAfterBreak="0">
    <w:nsid w:val="43206779"/>
    <w:multiLevelType w:val="multilevel"/>
    <w:tmpl w:val="83E69664"/>
    <w:lvl w:ilvl="0">
      <w:start w:val="1"/>
      <w:numFmt w:val="decimal"/>
      <w:pStyle w:val="List1"/>
      <w:lvlText w:val="%1."/>
      <w:lvlJc w:val="left"/>
      <w:pPr>
        <w:ind w:left="992" w:hanging="567"/>
      </w:pPr>
      <w:rPr>
        <w:rFonts w:ascii="Arial" w:hAnsi="Arial" w:hint="default"/>
        <w:b w:val="0"/>
        <w:i w:val="0"/>
        <w:sz w:val="20"/>
        <w:u w:color="000000" w:themeColor="text1"/>
      </w:rPr>
    </w:lvl>
    <w:lvl w:ilvl="1">
      <w:start w:val="1"/>
      <w:numFmt w:val="lowerLetter"/>
      <w:lvlText w:val="%2)"/>
      <w:lvlJc w:val="left"/>
      <w:pPr>
        <w:ind w:left="1559" w:hanging="567"/>
      </w:pPr>
      <w:rPr>
        <w:rFonts w:ascii="Arial" w:hAnsi="Arial" w:hint="default"/>
        <w:b w:val="0"/>
        <w:i w:val="0"/>
        <w:sz w:val="20"/>
      </w:rPr>
    </w:lvl>
    <w:lvl w:ilvl="2">
      <w:start w:val="1"/>
      <w:numFmt w:val="lowerRoman"/>
      <w:lvlText w:val="%3."/>
      <w:lvlJc w:val="left"/>
      <w:pPr>
        <w:ind w:left="2268" w:hanging="709"/>
      </w:pPr>
      <w:rPr>
        <w:rFonts w:hint="default"/>
      </w:rPr>
    </w:lvl>
    <w:lvl w:ilvl="3">
      <w:start w:val="1"/>
      <w:numFmt w:val="lowerRoman"/>
      <w:lvlText w:val="%4."/>
      <w:lvlJc w:val="righ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3" w15:restartNumberingAfterBreak="0">
    <w:nsid w:val="489C5456"/>
    <w:multiLevelType w:val="singleLevel"/>
    <w:tmpl w:val="31144638"/>
    <w:lvl w:ilvl="0">
      <w:start w:val="1"/>
      <w:numFmt w:val="bullet"/>
      <w:lvlText w:val=""/>
      <w:lvlJc w:val="left"/>
      <w:pPr>
        <w:tabs>
          <w:tab w:val="num" w:pos="0"/>
        </w:tabs>
        <w:ind w:left="2160" w:hanging="720"/>
      </w:pPr>
      <w:rPr>
        <w:rFonts w:ascii="Symbol" w:hAnsi="Symbol" w:hint="default"/>
      </w:rPr>
    </w:lvl>
  </w:abstractNum>
  <w:abstractNum w:abstractNumId="24" w15:restartNumberingAfterBreak="0">
    <w:nsid w:val="5C002D6C"/>
    <w:multiLevelType w:val="hybridMultilevel"/>
    <w:tmpl w:val="22D49308"/>
    <w:lvl w:ilvl="0" w:tplc="0C09000F">
      <w:start w:val="1"/>
      <w:numFmt w:val="bullet"/>
      <w:lvlText w:val=""/>
      <w:lvlJc w:val="left"/>
      <w:pPr>
        <w:tabs>
          <w:tab w:val="num" w:pos="284"/>
        </w:tabs>
        <w:ind w:left="284" w:hanging="284"/>
      </w:pPr>
      <w:rPr>
        <w:rFonts w:ascii="Symbol" w:hAnsi="Symbol" w:hint="default"/>
        <w:sz w:val="20"/>
        <w:szCs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35389C"/>
    <w:multiLevelType w:val="hybridMultilevel"/>
    <w:tmpl w:val="E990CB8C"/>
    <w:lvl w:ilvl="0" w:tplc="0570F18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F7C60B6"/>
    <w:multiLevelType w:val="hybridMultilevel"/>
    <w:tmpl w:val="1BBEA60A"/>
    <w:lvl w:ilvl="0" w:tplc="7E9A48B8">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99B1E12"/>
    <w:multiLevelType w:val="hybridMultilevel"/>
    <w:tmpl w:val="06BE24FE"/>
    <w:lvl w:ilvl="0" w:tplc="D6BC8F76">
      <w:numFmt w:val="bullet"/>
      <w:lvlText w:val="•"/>
      <w:lvlJc w:val="left"/>
      <w:pPr>
        <w:ind w:left="790" w:hanging="43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8A4F06"/>
    <w:multiLevelType w:val="multilevel"/>
    <w:tmpl w:val="E140EF5E"/>
    <w:lvl w:ilvl="0">
      <w:start w:val="1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2A330A8"/>
    <w:multiLevelType w:val="hybridMultilevel"/>
    <w:tmpl w:val="B77A6F6C"/>
    <w:lvl w:ilvl="0" w:tplc="8C3EA3EE">
      <w:start w:val="1"/>
      <w:numFmt w:val="bullet"/>
      <w:lvlText w:val=""/>
      <w:lvlJc w:val="left"/>
      <w:pPr>
        <w:tabs>
          <w:tab w:val="num" w:pos="1211"/>
        </w:tabs>
        <w:ind w:left="1211" w:hanging="360"/>
      </w:pPr>
      <w:rPr>
        <w:rFonts w:ascii="Symbol" w:hAnsi="Symbol" w:cs="Times New Roman" w:hint="default"/>
      </w:rPr>
    </w:lvl>
    <w:lvl w:ilvl="1" w:tplc="0C090003">
      <w:numFmt w:val="bullet"/>
      <w:lvlText w:val="-"/>
      <w:lvlJc w:val="left"/>
      <w:pPr>
        <w:tabs>
          <w:tab w:val="num" w:pos="2141"/>
        </w:tabs>
        <w:ind w:left="2141" w:hanging="570"/>
      </w:pPr>
      <w:rPr>
        <w:rFonts w:ascii="Garamond" w:eastAsia="Times New Roman" w:hAnsi="Garamond" w:hint="default"/>
      </w:rPr>
    </w:lvl>
    <w:lvl w:ilvl="2" w:tplc="0C090005">
      <w:start w:val="1"/>
      <w:numFmt w:val="bullet"/>
      <w:lvlText w:val=""/>
      <w:lvlJc w:val="left"/>
      <w:pPr>
        <w:tabs>
          <w:tab w:val="num" w:pos="2651"/>
        </w:tabs>
        <w:ind w:left="2651" w:hanging="360"/>
      </w:pPr>
      <w:rPr>
        <w:rFonts w:ascii="Wingdings" w:hAnsi="Wingdings" w:cs="Times New Roman" w:hint="default"/>
      </w:rPr>
    </w:lvl>
    <w:lvl w:ilvl="3" w:tplc="0C090001">
      <w:start w:val="1"/>
      <w:numFmt w:val="bullet"/>
      <w:lvlText w:val=""/>
      <w:lvlJc w:val="left"/>
      <w:pPr>
        <w:tabs>
          <w:tab w:val="num" w:pos="3371"/>
        </w:tabs>
        <w:ind w:left="3371" w:hanging="360"/>
      </w:pPr>
      <w:rPr>
        <w:rFonts w:ascii="Symbol" w:hAnsi="Symbol" w:cs="Times New Roman" w:hint="default"/>
      </w:rPr>
    </w:lvl>
    <w:lvl w:ilvl="4" w:tplc="0C090003">
      <w:start w:val="1"/>
      <w:numFmt w:val="bullet"/>
      <w:lvlText w:val="o"/>
      <w:lvlJc w:val="left"/>
      <w:pPr>
        <w:tabs>
          <w:tab w:val="num" w:pos="4091"/>
        </w:tabs>
        <w:ind w:left="4091" w:hanging="360"/>
      </w:pPr>
      <w:rPr>
        <w:rFonts w:ascii="Courier New" w:hAnsi="Courier New" w:cs="Courier New" w:hint="default"/>
      </w:rPr>
    </w:lvl>
    <w:lvl w:ilvl="5" w:tplc="0C090005">
      <w:start w:val="1"/>
      <w:numFmt w:val="bullet"/>
      <w:lvlText w:val=""/>
      <w:lvlJc w:val="left"/>
      <w:pPr>
        <w:tabs>
          <w:tab w:val="num" w:pos="4811"/>
        </w:tabs>
        <w:ind w:left="4811" w:hanging="360"/>
      </w:pPr>
      <w:rPr>
        <w:rFonts w:ascii="Wingdings" w:hAnsi="Wingdings" w:cs="Times New Roman" w:hint="default"/>
      </w:rPr>
    </w:lvl>
    <w:lvl w:ilvl="6" w:tplc="0C090001">
      <w:start w:val="1"/>
      <w:numFmt w:val="bullet"/>
      <w:lvlText w:val=""/>
      <w:lvlJc w:val="left"/>
      <w:pPr>
        <w:tabs>
          <w:tab w:val="num" w:pos="5531"/>
        </w:tabs>
        <w:ind w:left="5531" w:hanging="360"/>
      </w:pPr>
      <w:rPr>
        <w:rFonts w:ascii="Symbol" w:hAnsi="Symbol" w:cs="Times New Roman" w:hint="default"/>
      </w:rPr>
    </w:lvl>
    <w:lvl w:ilvl="7" w:tplc="0C090003">
      <w:start w:val="1"/>
      <w:numFmt w:val="bullet"/>
      <w:lvlText w:val="o"/>
      <w:lvlJc w:val="left"/>
      <w:pPr>
        <w:tabs>
          <w:tab w:val="num" w:pos="6251"/>
        </w:tabs>
        <w:ind w:left="6251" w:hanging="360"/>
      </w:pPr>
      <w:rPr>
        <w:rFonts w:ascii="Courier New" w:hAnsi="Courier New" w:cs="Courier New" w:hint="default"/>
      </w:rPr>
    </w:lvl>
    <w:lvl w:ilvl="8" w:tplc="0C090005">
      <w:start w:val="1"/>
      <w:numFmt w:val="bullet"/>
      <w:lvlText w:val=""/>
      <w:lvlJc w:val="left"/>
      <w:pPr>
        <w:tabs>
          <w:tab w:val="num" w:pos="6971"/>
        </w:tabs>
        <w:ind w:left="6971" w:hanging="360"/>
      </w:pPr>
      <w:rPr>
        <w:rFonts w:ascii="Wingdings" w:hAnsi="Wingdings" w:cs="Times New Roman" w:hint="default"/>
      </w:rPr>
    </w:lvl>
  </w:abstractNum>
  <w:abstractNum w:abstractNumId="30" w15:restartNumberingAfterBreak="0">
    <w:nsid w:val="78AB0CB6"/>
    <w:multiLevelType w:val="multilevel"/>
    <w:tmpl w:val="853A94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EB4187"/>
    <w:multiLevelType w:val="multilevel"/>
    <w:tmpl w:val="5A06ECFC"/>
    <w:lvl w:ilvl="0">
      <w:start w:val="1"/>
      <w:numFmt w:val="decimal"/>
      <w:lvlText w:val="%1."/>
      <w:lvlJc w:val="left"/>
      <w:pPr>
        <w:ind w:left="851" w:hanging="851"/>
      </w:pPr>
      <w:rPr>
        <w:rFonts w:ascii="Arial Bold" w:hAnsi="Arial Bold" w:hint="default"/>
        <w:b/>
        <w:i w:val="0"/>
        <w:color w:val="1F688D" w:themeColor="accent1"/>
        <w:sz w:val="40"/>
        <w:szCs w:val="40"/>
      </w:rPr>
    </w:lvl>
    <w:lvl w:ilvl="1">
      <w:start w:val="1"/>
      <w:numFmt w:val="decimal"/>
      <w:lvlText w:val="%1.%2"/>
      <w:lvlJc w:val="left"/>
      <w:pPr>
        <w:ind w:left="851" w:hanging="851"/>
      </w:pPr>
      <w:rPr>
        <w:rFonts w:ascii="Arial Bold" w:hAnsi="Arial Bold" w:hint="default"/>
        <w:b/>
        <w:i w:val="0"/>
        <w:color w:val="1F688D" w:themeColor="accent1"/>
        <w:sz w:val="32"/>
      </w:rPr>
    </w:lvl>
    <w:lvl w:ilvl="2">
      <w:start w:val="1"/>
      <w:numFmt w:val="decimal"/>
      <w:lvlText w:val="%1.%2.%3"/>
      <w:lvlJc w:val="right"/>
      <w:pPr>
        <w:ind w:left="851" w:hanging="851"/>
      </w:pPr>
      <w:rPr>
        <w:rFonts w:ascii="Arial Bold" w:hAnsi="Arial Bold" w:hint="default"/>
        <w:b/>
        <w:i w:val="0"/>
        <w:color w:val="1F688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52313074">
    <w:abstractNumId w:val="31"/>
  </w:num>
  <w:num w:numId="2" w16cid:durableId="954600316">
    <w:abstractNumId w:val="29"/>
  </w:num>
  <w:num w:numId="3" w16cid:durableId="1610505568">
    <w:abstractNumId w:val="10"/>
  </w:num>
  <w:num w:numId="4" w16cid:durableId="1616212661">
    <w:abstractNumId w:val="23"/>
  </w:num>
  <w:num w:numId="5" w16cid:durableId="1778597707">
    <w:abstractNumId w:val="25"/>
  </w:num>
  <w:num w:numId="6" w16cid:durableId="341933503">
    <w:abstractNumId w:val="19"/>
  </w:num>
  <w:num w:numId="7" w16cid:durableId="1538392963">
    <w:abstractNumId w:val="16"/>
  </w:num>
  <w:num w:numId="8" w16cid:durableId="688145279">
    <w:abstractNumId w:val="28"/>
  </w:num>
  <w:num w:numId="9" w16cid:durableId="865293754">
    <w:abstractNumId w:val="12"/>
  </w:num>
  <w:num w:numId="10" w16cid:durableId="1659918667">
    <w:abstractNumId w:val="24"/>
  </w:num>
  <w:num w:numId="11" w16cid:durableId="1070274828">
    <w:abstractNumId w:val="20"/>
  </w:num>
  <w:num w:numId="12" w16cid:durableId="1723559641">
    <w:abstractNumId w:val="18"/>
  </w:num>
  <w:num w:numId="13" w16cid:durableId="35355984">
    <w:abstractNumId w:val="21"/>
  </w:num>
  <w:num w:numId="14" w16cid:durableId="901676844">
    <w:abstractNumId w:val="26"/>
  </w:num>
  <w:num w:numId="15" w16cid:durableId="514154623">
    <w:abstractNumId w:val="14"/>
  </w:num>
  <w:num w:numId="16" w16cid:durableId="2122412428">
    <w:abstractNumId w:val="17"/>
  </w:num>
  <w:num w:numId="17" w16cid:durableId="1817145284">
    <w:abstractNumId w:val="30"/>
  </w:num>
  <w:num w:numId="18" w16cid:durableId="1875267059">
    <w:abstractNumId w:val="19"/>
  </w:num>
  <w:num w:numId="19" w16cid:durableId="43721577">
    <w:abstractNumId w:val="19"/>
  </w:num>
  <w:num w:numId="20" w16cid:durableId="22365642">
    <w:abstractNumId w:val="19"/>
  </w:num>
  <w:num w:numId="21" w16cid:durableId="924874223">
    <w:abstractNumId w:val="30"/>
  </w:num>
  <w:num w:numId="22" w16cid:durableId="45492801">
    <w:abstractNumId w:val="30"/>
  </w:num>
  <w:num w:numId="23" w16cid:durableId="1214152073">
    <w:abstractNumId w:val="15"/>
  </w:num>
  <w:num w:numId="24" w16cid:durableId="1958222629">
    <w:abstractNumId w:val="19"/>
  </w:num>
  <w:num w:numId="25" w16cid:durableId="1426220588">
    <w:abstractNumId w:val="19"/>
  </w:num>
  <w:num w:numId="26" w16cid:durableId="1405180272">
    <w:abstractNumId w:val="19"/>
  </w:num>
  <w:num w:numId="27" w16cid:durableId="1096362171">
    <w:abstractNumId w:val="15"/>
  </w:num>
  <w:num w:numId="28" w16cid:durableId="1588882626">
    <w:abstractNumId w:val="15"/>
  </w:num>
  <w:num w:numId="29" w16cid:durableId="1741750523">
    <w:abstractNumId w:val="15"/>
  </w:num>
  <w:num w:numId="30" w16cid:durableId="1743940906">
    <w:abstractNumId w:val="19"/>
  </w:num>
  <w:num w:numId="31" w16cid:durableId="725493927">
    <w:abstractNumId w:val="19"/>
  </w:num>
  <w:num w:numId="32" w16cid:durableId="450513900">
    <w:abstractNumId w:val="19"/>
  </w:num>
  <w:num w:numId="33" w16cid:durableId="1341589188">
    <w:abstractNumId w:val="15"/>
  </w:num>
  <w:num w:numId="34" w16cid:durableId="2079327395">
    <w:abstractNumId w:val="15"/>
  </w:num>
  <w:num w:numId="35" w16cid:durableId="1257178166">
    <w:abstractNumId w:val="9"/>
  </w:num>
  <w:num w:numId="36" w16cid:durableId="560755465">
    <w:abstractNumId w:val="7"/>
  </w:num>
  <w:num w:numId="37" w16cid:durableId="1971476642">
    <w:abstractNumId w:val="6"/>
  </w:num>
  <w:num w:numId="38" w16cid:durableId="348918987">
    <w:abstractNumId w:val="5"/>
  </w:num>
  <w:num w:numId="39" w16cid:durableId="487743729">
    <w:abstractNumId w:val="4"/>
  </w:num>
  <w:num w:numId="40" w16cid:durableId="1004630268">
    <w:abstractNumId w:val="8"/>
  </w:num>
  <w:num w:numId="41" w16cid:durableId="1847673510">
    <w:abstractNumId w:val="3"/>
  </w:num>
  <w:num w:numId="42" w16cid:durableId="1000818742">
    <w:abstractNumId w:val="2"/>
  </w:num>
  <w:num w:numId="43" w16cid:durableId="725105408">
    <w:abstractNumId w:val="1"/>
  </w:num>
  <w:num w:numId="44" w16cid:durableId="538706737">
    <w:abstractNumId w:val="0"/>
  </w:num>
  <w:num w:numId="45" w16cid:durableId="113405773">
    <w:abstractNumId w:val="13"/>
  </w:num>
  <w:num w:numId="46" w16cid:durableId="1943144802">
    <w:abstractNumId w:val="22"/>
  </w:num>
  <w:num w:numId="47" w16cid:durableId="778719709">
    <w:abstractNumId w:val="11"/>
  </w:num>
  <w:num w:numId="48" w16cid:durableId="33627085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35"/>
    <w:rsid w:val="000067CE"/>
    <w:rsid w:val="00020189"/>
    <w:rsid w:val="00030C1B"/>
    <w:rsid w:val="000332EB"/>
    <w:rsid w:val="00053DF4"/>
    <w:rsid w:val="0008506D"/>
    <w:rsid w:val="00086E9C"/>
    <w:rsid w:val="0009344F"/>
    <w:rsid w:val="00096628"/>
    <w:rsid w:val="000C2F6B"/>
    <w:rsid w:val="000D0778"/>
    <w:rsid w:val="000E2D3D"/>
    <w:rsid w:val="000E337A"/>
    <w:rsid w:val="000F11FB"/>
    <w:rsid w:val="00100EB9"/>
    <w:rsid w:val="00111155"/>
    <w:rsid w:val="00132CF4"/>
    <w:rsid w:val="001405CB"/>
    <w:rsid w:val="001424FD"/>
    <w:rsid w:val="00157A8B"/>
    <w:rsid w:val="001A2AED"/>
    <w:rsid w:val="001A4E03"/>
    <w:rsid w:val="001D1417"/>
    <w:rsid w:val="001E1A5B"/>
    <w:rsid w:val="001E5A30"/>
    <w:rsid w:val="001E6194"/>
    <w:rsid w:val="0020309C"/>
    <w:rsid w:val="00203BD6"/>
    <w:rsid w:val="00207146"/>
    <w:rsid w:val="00207FDA"/>
    <w:rsid w:val="002502FE"/>
    <w:rsid w:val="00253273"/>
    <w:rsid w:val="0026421A"/>
    <w:rsid w:val="0027220D"/>
    <w:rsid w:val="00291665"/>
    <w:rsid w:val="0029380F"/>
    <w:rsid w:val="002A0592"/>
    <w:rsid w:val="002A4EF8"/>
    <w:rsid w:val="002C1CD8"/>
    <w:rsid w:val="002D6FDC"/>
    <w:rsid w:val="00325C79"/>
    <w:rsid w:val="003508D6"/>
    <w:rsid w:val="00353668"/>
    <w:rsid w:val="003601F0"/>
    <w:rsid w:val="003778B6"/>
    <w:rsid w:val="003844C1"/>
    <w:rsid w:val="00385292"/>
    <w:rsid w:val="00385531"/>
    <w:rsid w:val="00392E0D"/>
    <w:rsid w:val="00396E03"/>
    <w:rsid w:val="003B5EBC"/>
    <w:rsid w:val="003B6E9B"/>
    <w:rsid w:val="003D7535"/>
    <w:rsid w:val="003E49EB"/>
    <w:rsid w:val="003F0F4E"/>
    <w:rsid w:val="003F402F"/>
    <w:rsid w:val="003F5E72"/>
    <w:rsid w:val="00404474"/>
    <w:rsid w:val="00405C0F"/>
    <w:rsid w:val="004060F8"/>
    <w:rsid w:val="00430A8E"/>
    <w:rsid w:val="00431170"/>
    <w:rsid w:val="004327EE"/>
    <w:rsid w:val="004347F2"/>
    <w:rsid w:val="004354E2"/>
    <w:rsid w:val="00446259"/>
    <w:rsid w:val="004820F8"/>
    <w:rsid w:val="004A4EC9"/>
    <w:rsid w:val="004C1F6C"/>
    <w:rsid w:val="004C5F15"/>
    <w:rsid w:val="004D6E7D"/>
    <w:rsid w:val="004F2A10"/>
    <w:rsid w:val="00503BFF"/>
    <w:rsid w:val="00504652"/>
    <w:rsid w:val="005049B6"/>
    <w:rsid w:val="00513B72"/>
    <w:rsid w:val="00521D8E"/>
    <w:rsid w:val="00522F35"/>
    <w:rsid w:val="005274AC"/>
    <w:rsid w:val="00533BE3"/>
    <w:rsid w:val="00537CE6"/>
    <w:rsid w:val="005579C0"/>
    <w:rsid w:val="00567423"/>
    <w:rsid w:val="0057261C"/>
    <w:rsid w:val="0058463B"/>
    <w:rsid w:val="005C76FD"/>
    <w:rsid w:val="005E488F"/>
    <w:rsid w:val="00613F4D"/>
    <w:rsid w:val="00620384"/>
    <w:rsid w:val="00642D43"/>
    <w:rsid w:val="00643BF9"/>
    <w:rsid w:val="00653769"/>
    <w:rsid w:val="006805C9"/>
    <w:rsid w:val="00685FA3"/>
    <w:rsid w:val="006C1A65"/>
    <w:rsid w:val="006C51CD"/>
    <w:rsid w:val="006D1102"/>
    <w:rsid w:val="006D5818"/>
    <w:rsid w:val="006E03FB"/>
    <w:rsid w:val="006E111A"/>
    <w:rsid w:val="006F79BD"/>
    <w:rsid w:val="00733508"/>
    <w:rsid w:val="0074077B"/>
    <w:rsid w:val="00746044"/>
    <w:rsid w:val="00756A85"/>
    <w:rsid w:val="00772F26"/>
    <w:rsid w:val="00792EF2"/>
    <w:rsid w:val="007A6B97"/>
    <w:rsid w:val="007A7E45"/>
    <w:rsid w:val="007D1CBD"/>
    <w:rsid w:val="007E2E35"/>
    <w:rsid w:val="007F6AE6"/>
    <w:rsid w:val="007F735D"/>
    <w:rsid w:val="0081002F"/>
    <w:rsid w:val="00813689"/>
    <w:rsid w:val="00831254"/>
    <w:rsid w:val="00840C93"/>
    <w:rsid w:val="00881BC9"/>
    <w:rsid w:val="00883FF5"/>
    <w:rsid w:val="008872DA"/>
    <w:rsid w:val="008925D0"/>
    <w:rsid w:val="008B5AA3"/>
    <w:rsid w:val="008D020D"/>
    <w:rsid w:val="008D0E9C"/>
    <w:rsid w:val="00924D86"/>
    <w:rsid w:val="00926AD1"/>
    <w:rsid w:val="00940B7F"/>
    <w:rsid w:val="00955C61"/>
    <w:rsid w:val="00960F5A"/>
    <w:rsid w:val="009902F1"/>
    <w:rsid w:val="009B7612"/>
    <w:rsid w:val="009C0F6A"/>
    <w:rsid w:val="009D40B0"/>
    <w:rsid w:val="009F5FD9"/>
    <w:rsid w:val="009F61BE"/>
    <w:rsid w:val="009F73E4"/>
    <w:rsid w:val="00A1110E"/>
    <w:rsid w:val="00A117EA"/>
    <w:rsid w:val="00A32C0B"/>
    <w:rsid w:val="00A337FF"/>
    <w:rsid w:val="00A34C97"/>
    <w:rsid w:val="00A44BDB"/>
    <w:rsid w:val="00A50D23"/>
    <w:rsid w:val="00A50F3B"/>
    <w:rsid w:val="00A62B5D"/>
    <w:rsid w:val="00A661B9"/>
    <w:rsid w:val="00A8115B"/>
    <w:rsid w:val="00AB31A6"/>
    <w:rsid w:val="00AC2622"/>
    <w:rsid w:val="00AC3DD1"/>
    <w:rsid w:val="00AC5F37"/>
    <w:rsid w:val="00AD5246"/>
    <w:rsid w:val="00AE5C18"/>
    <w:rsid w:val="00B17B02"/>
    <w:rsid w:val="00B31A96"/>
    <w:rsid w:val="00B805A4"/>
    <w:rsid w:val="00B866C5"/>
    <w:rsid w:val="00B87DAC"/>
    <w:rsid w:val="00B87F63"/>
    <w:rsid w:val="00B956E5"/>
    <w:rsid w:val="00BB146E"/>
    <w:rsid w:val="00BB17C1"/>
    <w:rsid w:val="00BD1AEB"/>
    <w:rsid w:val="00BE38B5"/>
    <w:rsid w:val="00C21A50"/>
    <w:rsid w:val="00C30DF6"/>
    <w:rsid w:val="00C372DF"/>
    <w:rsid w:val="00C478DF"/>
    <w:rsid w:val="00C50A05"/>
    <w:rsid w:val="00C5752E"/>
    <w:rsid w:val="00C77848"/>
    <w:rsid w:val="00C81D69"/>
    <w:rsid w:val="00C83446"/>
    <w:rsid w:val="00C86449"/>
    <w:rsid w:val="00C911ED"/>
    <w:rsid w:val="00CB0303"/>
    <w:rsid w:val="00CC369D"/>
    <w:rsid w:val="00D12C44"/>
    <w:rsid w:val="00D22239"/>
    <w:rsid w:val="00D26D44"/>
    <w:rsid w:val="00D620E4"/>
    <w:rsid w:val="00D65853"/>
    <w:rsid w:val="00D85F55"/>
    <w:rsid w:val="00DC4363"/>
    <w:rsid w:val="00DC54AD"/>
    <w:rsid w:val="00DF5505"/>
    <w:rsid w:val="00E00334"/>
    <w:rsid w:val="00E34683"/>
    <w:rsid w:val="00E82912"/>
    <w:rsid w:val="00EA5C26"/>
    <w:rsid w:val="00EA67C2"/>
    <w:rsid w:val="00EB54F9"/>
    <w:rsid w:val="00ED2465"/>
    <w:rsid w:val="00ED3212"/>
    <w:rsid w:val="00ED461E"/>
    <w:rsid w:val="00EF72E3"/>
    <w:rsid w:val="00F009E4"/>
    <w:rsid w:val="00F0161C"/>
    <w:rsid w:val="00F46E19"/>
    <w:rsid w:val="00F604E8"/>
    <w:rsid w:val="00F61461"/>
    <w:rsid w:val="00F95348"/>
    <w:rsid w:val="00FA0F29"/>
    <w:rsid w:val="00FB1439"/>
    <w:rsid w:val="00FD3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A440"/>
  <w15:chartTrackingRefBased/>
  <w15:docId w15:val="{A8241889-B281-4AC5-A9E6-4DBE6D67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35"/>
    <w:pPr>
      <w:widowControl w:val="0"/>
      <w:autoSpaceDE w:val="0"/>
      <w:autoSpaceDN w:val="0"/>
    </w:pPr>
    <w:rPr>
      <w:rFonts w:ascii="HelveticaNeueLTStd-Roman" w:eastAsia="HelveticaNeueLTStd-Roman" w:hAnsi="HelveticaNeueLTStd-Roman" w:cs="HelveticaNeueLTStd-Roman"/>
      <w:sz w:val="22"/>
      <w:szCs w:val="22"/>
      <w:lang w:val="en-US"/>
    </w:rPr>
  </w:style>
  <w:style w:type="paragraph" w:styleId="Heading1">
    <w:name w:val="heading 1"/>
    <w:basedOn w:val="Body"/>
    <w:next w:val="Body"/>
    <w:link w:val="Heading1Char"/>
    <w:uiPriority w:val="9"/>
    <w:qFormat/>
    <w:rsid w:val="001E1A5B"/>
    <w:pPr>
      <w:tabs>
        <w:tab w:val="left" w:pos="2835"/>
      </w:tabs>
      <w:spacing w:after="240"/>
      <w:ind w:left="2835" w:hanging="2835"/>
      <w:outlineLvl w:val="0"/>
    </w:pPr>
    <w:rPr>
      <w:sz w:val="44"/>
      <w:szCs w:val="44"/>
    </w:rPr>
  </w:style>
  <w:style w:type="paragraph" w:styleId="Heading2">
    <w:name w:val="heading 2"/>
    <w:basedOn w:val="Body"/>
    <w:next w:val="Body"/>
    <w:link w:val="Heading2Char"/>
    <w:uiPriority w:val="9"/>
    <w:qFormat/>
    <w:rsid w:val="002D6FDC"/>
    <w:pPr>
      <w:outlineLvl w:val="1"/>
    </w:pPr>
    <w:rPr>
      <w:sz w:val="28"/>
      <w:szCs w:val="28"/>
    </w:rPr>
  </w:style>
  <w:style w:type="paragraph" w:styleId="Heading3">
    <w:name w:val="heading 3"/>
    <w:basedOn w:val="Normal"/>
    <w:next w:val="Body"/>
    <w:link w:val="Heading3Char"/>
    <w:uiPriority w:val="9"/>
    <w:rsid w:val="0074077B"/>
    <w:pPr>
      <w:keepNext/>
      <w:keepLines/>
      <w:numPr>
        <w:ilvl w:val="2"/>
        <w:numId w:val="34"/>
      </w:numPr>
      <w:spacing w:before="240" w:after="120"/>
      <w:ind w:left="851" w:hanging="851"/>
      <w:outlineLvl w:val="2"/>
    </w:pPr>
    <w:rPr>
      <w:rFonts w:eastAsiaTheme="majorEastAsia" w:cstheme="majorBidi"/>
      <w:b/>
      <w:bCs/>
      <w:color w:val="1F688D"/>
      <w:sz w:val="24"/>
    </w:rPr>
  </w:style>
  <w:style w:type="paragraph" w:styleId="Heading4">
    <w:name w:val="heading 4"/>
    <w:basedOn w:val="Normal"/>
    <w:next w:val="Body"/>
    <w:link w:val="Heading4Char"/>
    <w:uiPriority w:val="9"/>
    <w:unhideWhenUsed/>
    <w:rsid w:val="008925D0"/>
    <w:pPr>
      <w:keepNext/>
      <w:keepLines/>
      <w:spacing w:before="240" w:after="240"/>
      <w:outlineLvl w:val="3"/>
    </w:pPr>
    <w:rPr>
      <w:b/>
      <w:color w:val="1F688D"/>
    </w:rPr>
  </w:style>
  <w:style w:type="paragraph" w:styleId="Heading5">
    <w:name w:val="heading 5"/>
    <w:basedOn w:val="Normal"/>
    <w:next w:val="Body"/>
    <w:link w:val="Heading5Char"/>
    <w:uiPriority w:val="9"/>
    <w:unhideWhenUsed/>
    <w:rsid w:val="00404474"/>
    <w:pPr>
      <w:outlineLvl w:val="4"/>
    </w:pPr>
    <w:rPr>
      <w:i/>
      <w:color w:val="1F688D"/>
    </w:rPr>
  </w:style>
  <w:style w:type="paragraph" w:styleId="Heading6">
    <w:name w:val="heading 6"/>
    <w:basedOn w:val="Body"/>
    <w:next w:val="Body"/>
    <w:link w:val="Heading6Char"/>
    <w:uiPriority w:val="9"/>
    <w:unhideWhenUsed/>
    <w:rsid w:val="00404474"/>
    <w:pPr>
      <w:outlineLvl w:val="5"/>
    </w:pPr>
    <w:rPr>
      <w:color w:val="1F688D"/>
      <w:u w:val="single"/>
    </w:rPr>
  </w:style>
  <w:style w:type="paragraph" w:styleId="Heading7">
    <w:name w:val="heading 7"/>
    <w:basedOn w:val="Normal"/>
    <w:next w:val="Normal"/>
    <w:link w:val="Heading7Char"/>
    <w:uiPriority w:val="9"/>
    <w:unhideWhenUsed/>
    <w:rsid w:val="00404474"/>
    <w:pPr>
      <w:keepNext/>
      <w:keepLines/>
      <w:spacing w:before="40"/>
      <w:outlineLvl w:val="6"/>
    </w:pPr>
    <w:rPr>
      <w:rFonts w:eastAsiaTheme="majorEastAsia" w:cs="Arial"/>
      <w:i/>
      <w:iCs/>
      <w:color w:val="1F688D"/>
    </w:rPr>
  </w:style>
  <w:style w:type="paragraph" w:styleId="Heading8">
    <w:name w:val="heading 8"/>
    <w:aliases w:val="Heading 8 do not use,Heading 8 not in use"/>
    <w:basedOn w:val="Normal"/>
    <w:next w:val="Normal"/>
    <w:link w:val="Heading8Char"/>
    <w:rsid w:val="00A50D23"/>
    <w:pPr>
      <w:keepNext/>
      <w:numPr>
        <w:ilvl w:val="7"/>
        <w:numId w:val="9"/>
      </w:numPr>
      <w:jc w:val="center"/>
      <w:outlineLvl w:val="7"/>
    </w:pPr>
    <w:rPr>
      <w:i/>
    </w:rPr>
  </w:style>
  <w:style w:type="paragraph" w:styleId="Heading9">
    <w:name w:val="heading 9"/>
    <w:aliases w:val="Heading 9 not in use"/>
    <w:basedOn w:val="Normal"/>
    <w:next w:val="Normal"/>
    <w:link w:val="Heading9Char"/>
    <w:rsid w:val="00A50D23"/>
    <w:pPr>
      <w:keepNext/>
      <w:numPr>
        <w:ilvl w:val="8"/>
      </w:numPr>
      <w:spacing w:before="200"/>
      <w:jc w:val="both"/>
      <w:outlineLvl w:val="8"/>
    </w:pPr>
    <w:rPr>
      <w:rFonts w:cs="Arial"/>
      <w:b/>
      <w:color w:val="A6C12E"/>
      <w:w w:val="11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Heading1"/>
    <w:next w:val="Body"/>
    <w:link w:val="AppendixHeadingChar"/>
    <w:rsid w:val="00404474"/>
    <w:pPr>
      <w:ind w:left="0" w:firstLine="0"/>
    </w:pPr>
  </w:style>
  <w:style w:type="character" w:customStyle="1" w:styleId="AppendixHeadingChar">
    <w:name w:val="Appendix Heading Char"/>
    <w:basedOn w:val="Heading1Char"/>
    <w:link w:val="AppendixHeading"/>
    <w:rsid w:val="00404474"/>
    <w:rPr>
      <w:rFonts w:ascii="Arial" w:eastAsia="Times New Roman" w:hAnsi="Arial" w:cstheme="minorBidi"/>
      <w:b w:val="0"/>
      <w:color w:val="1F688D"/>
      <w:sz w:val="40"/>
      <w:szCs w:val="40"/>
      <w:lang w:val="en-US"/>
    </w:rPr>
  </w:style>
  <w:style w:type="paragraph" w:styleId="BalloonText">
    <w:name w:val="Balloon Text"/>
    <w:basedOn w:val="Normal"/>
    <w:link w:val="BalloonTextChar"/>
    <w:uiPriority w:val="99"/>
    <w:semiHidden/>
    <w:unhideWhenUsed/>
    <w:rsid w:val="00404474"/>
    <w:rPr>
      <w:rFonts w:ascii="Segoe UI" w:hAnsi="Segoe UI" w:cs="Segoe UI"/>
      <w:sz w:val="18"/>
      <w:szCs w:val="18"/>
    </w:rPr>
  </w:style>
  <w:style w:type="character" w:customStyle="1" w:styleId="Heading1Char">
    <w:name w:val="Heading 1 Char"/>
    <w:basedOn w:val="DefaultParagraphFont"/>
    <w:link w:val="Heading1"/>
    <w:uiPriority w:val="9"/>
    <w:rsid w:val="001E1A5B"/>
    <w:rPr>
      <w:rFonts w:ascii="Arial" w:eastAsia="Times New Roman" w:hAnsi="Arial"/>
      <w:sz w:val="44"/>
      <w:szCs w:val="44"/>
      <w:lang w:val="en-US"/>
    </w:rPr>
  </w:style>
  <w:style w:type="character" w:customStyle="1" w:styleId="Heading2Char">
    <w:name w:val="Heading 2 Char"/>
    <w:basedOn w:val="DefaultParagraphFont"/>
    <w:link w:val="Heading2"/>
    <w:uiPriority w:val="9"/>
    <w:rsid w:val="002D6FDC"/>
    <w:rPr>
      <w:rFonts w:ascii="Arial" w:eastAsia="Times New Roman" w:hAnsi="Arial"/>
      <w:sz w:val="28"/>
      <w:szCs w:val="28"/>
      <w:lang w:val="en-US"/>
    </w:rPr>
  </w:style>
  <w:style w:type="character" w:customStyle="1" w:styleId="Heading3Char">
    <w:name w:val="Heading 3 Char"/>
    <w:basedOn w:val="DefaultParagraphFont"/>
    <w:link w:val="Heading3"/>
    <w:uiPriority w:val="9"/>
    <w:rsid w:val="0074077B"/>
    <w:rPr>
      <w:rFonts w:ascii="Arial" w:eastAsiaTheme="majorEastAsia" w:hAnsi="Arial" w:cstheme="majorBidi"/>
      <w:b/>
      <w:bCs/>
      <w:color w:val="1F688D"/>
      <w:sz w:val="24"/>
      <w:szCs w:val="22"/>
    </w:rPr>
  </w:style>
  <w:style w:type="character" w:customStyle="1" w:styleId="BalloonTextChar">
    <w:name w:val="Balloon Text Char"/>
    <w:basedOn w:val="DefaultParagraphFont"/>
    <w:link w:val="BalloonText"/>
    <w:uiPriority w:val="99"/>
    <w:semiHidden/>
    <w:rsid w:val="00404474"/>
    <w:rPr>
      <w:rFonts w:ascii="Segoe UI" w:hAnsi="Segoe UI" w:cs="Segoe UI"/>
      <w:sz w:val="18"/>
      <w:szCs w:val="18"/>
    </w:rPr>
  </w:style>
  <w:style w:type="paragraph" w:customStyle="1" w:styleId="Body">
    <w:name w:val="Body"/>
    <w:basedOn w:val="Normal"/>
    <w:link w:val="BodyChar"/>
    <w:qFormat/>
    <w:rsid w:val="002D6FDC"/>
    <w:pPr>
      <w:spacing w:before="120" w:after="120" w:line="264" w:lineRule="auto"/>
    </w:pPr>
    <w:rPr>
      <w:rFonts w:ascii="Arial" w:eastAsia="Times New Roman" w:hAnsi="Arial" w:cs="Times New Roman"/>
      <w:sz w:val="21"/>
      <w:szCs w:val="20"/>
    </w:rPr>
  </w:style>
  <w:style w:type="character" w:customStyle="1" w:styleId="BodyChar">
    <w:name w:val="Body Char"/>
    <w:link w:val="Body"/>
    <w:rsid w:val="002D6FDC"/>
    <w:rPr>
      <w:rFonts w:ascii="Arial" w:eastAsia="Times New Roman" w:hAnsi="Arial"/>
      <w:sz w:val="21"/>
      <w:lang w:val="en-US"/>
    </w:rPr>
  </w:style>
  <w:style w:type="paragraph" w:customStyle="1" w:styleId="BodyIndent">
    <w:name w:val="Body Indent"/>
    <w:basedOn w:val="Body"/>
    <w:qFormat/>
    <w:rsid w:val="00F95348"/>
    <w:pPr>
      <w:ind w:left="426"/>
    </w:pPr>
  </w:style>
  <w:style w:type="character" w:styleId="BookTitle">
    <w:name w:val="Book Title"/>
    <w:basedOn w:val="DefaultParagraphFont"/>
    <w:uiPriority w:val="33"/>
    <w:qFormat/>
    <w:rsid w:val="0074077B"/>
    <w:rPr>
      <w:rFonts w:ascii="Arial" w:hAnsi="Arial"/>
      <w:b w:val="0"/>
      <w:bCs/>
      <w:i/>
      <w:iCs/>
      <w:spacing w:val="5"/>
      <w:sz w:val="20"/>
    </w:rPr>
  </w:style>
  <w:style w:type="paragraph" w:customStyle="1" w:styleId="Bullets1">
    <w:name w:val="Bullets 1"/>
    <w:basedOn w:val="Body"/>
    <w:qFormat/>
    <w:rsid w:val="002D6FDC"/>
    <w:pPr>
      <w:numPr>
        <w:numId w:val="47"/>
      </w:numPr>
      <w:ind w:left="425" w:hanging="425"/>
    </w:pPr>
  </w:style>
  <w:style w:type="paragraph" w:customStyle="1" w:styleId="Bullets2">
    <w:name w:val="Bullets 2"/>
    <w:basedOn w:val="Normal"/>
    <w:autoRedefine/>
    <w:qFormat/>
    <w:rsid w:val="0074077B"/>
    <w:pPr>
      <w:numPr>
        <w:ilvl w:val="1"/>
        <w:numId w:val="32"/>
      </w:numPr>
      <w:spacing w:before="60" w:after="60" w:line="300" w:lineRule="auto"/>
      <w:ind w:left="1417" w:hanging="425"/>
    </w:pPr>
    <w:rPr>
      <w:rFonts w:eastAsia="Times New Roman" w:cs="Times New Roman"/>
      <w:szCs w:val="20"/>
    </w:rPr>
  </w:style>
  <w:style w:type="paragraph" w:customStyle="1" w:styleId="Bullets3">
    <w:name w:val="Bullets 3"/>
    <w:basedOn w:val="Normal"/>
    <w:rsid w:val="0074077B"/>
    <w:pPr>
      <w:numPr>
        <w:ilvl w:val="2"/>
        <w:numId w:val="32"/>
      </w:numPr>
      <w:spacing w:before="60" w:after="60" w:line="300" w:lineRule="auto"/>
      <w:ind w:left="1984" w:hanging="425"/>
    </w:pPr>
    <w:rPr>
      <w:rFonts w:eastAsia="Times New Roman" w:cs="Times New Roman"/>
      <w:szCs w:val="20"/>
    </w:rPr>
  </w:style>
  <w:style w:type="paragraph" w:styleId="Caption">
    <w:name w:val="caption"/>
    <w:basedOn w:val="Normal"/>
    <w:next w:val="Body"/>
    <w:uiPriority w:val="35"/>
    <w:unhideWhenUsed/>
    <w:qFormat/>
    <w:rsid w:val="00132CF4"/>
    <w:pPr>
      <w:spacing w:before="240" w:after="120"/>
      <w:ind w:left="1418" w:hanging="1418"/>
    </w:pPr>
    <w:rPr>
      <w:rFonts w:ascii="Arial" w:eastAsia="Times New Roman" w:hAnsi="Arial" w:cs="Times New Roman"/>
      <w:color w:val="000000" w:themeColor="text1"/>
      <w:sz w:val="21"/>
      <w:szCs w:val="18"/>
    </w:rPr>
  </w:style>
  <w:style w:type="paragraph" w:customStyle="1" w:styleId="FigureNote">
    <w:name w:val="Figure Note"/>
    <w:basedOn w:val="Normal"/>
    <w:link w:val="FigureNoteChar"/>
    <w:rsid w:val="00404474"/>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04474"/>
    <w:rPr>
      <w:rFonts w:ascii="Arial" w:eastAsia="Calibri" w:hAnsi="Arial"/>
      <w:sz w:val="16"/>
      <w:szCs w:val="22"/>
      <w:lang w:val="en-GB"/>
    </w:rPr>
  </w:style>
  <w:style w:type="character" w:styleId="FollowedHyperlink">
    <w:name w:val="FollowedHyperlink"/>
    <w:basedOn w:val="DefaultParagraphFont"/>
    <w:uiPriority w:val="99"/>
    <w:semiHidden/>
    <w:unhideWhenUsed/>
    <w:rsid w:val="00404474"/>
    <w:rPr>
      <w:color w:val="7030A0" w:themeColor="followedHyperlink"/>
      <w:u w:val="single"/>
    </w:rPr>
  </w:style>
  <w:style w:type="paragraph" w:styleId="Footer">
    <w:name w:val="footer"/>
    <w:basedOn w:val="Normal"/>
    <w:link w:val="FooterChar"/>
    <w:uiPriority w:val="99"/>
    <w:unhideWhenUsed/>
    <w:rsid w:val="00404474"/>
    <w:pPr>
      <w:tabs>
        <w:tab w:val="center" w:pos="4513"/>
        <w:tab w:val="right" w:pos="9026"/>
      </w:tabs>
    </w:pPr>
  </w:style>
  <w:style w:type="character" w:customStyle="1" w:styleId="FooterChar">
    <w:name w:val="Footer Char"/>
    <w:basedOn w:val="DefaultParagraphFont"/>
    <w:link w:val="Footer"/>
    <w:uiPriority w:val="99"/>
    <w:rsid w:val="00404474"/>
    <w:rPr>
      <w:rFonts w:ascii="Arial" w:hAnsi="Arial" w:cstheme="minorBidi"/>
      <w:szCs w:val="22"/>
    </w:rPr>
  </w:style>
  <w:style w:type="table" w:styleId="GridTable2-Accent1">
    <w:name w:val="Grid Table 2 Accent 1"/>
    <w:basedOn w:val="TableNormal"/>
    <w:uiPriority w:val="47"/>
    <w:rsid w:val="00404474"/>
    <w:rPr>
      <w:rFonts w:asciiTheme="minorHAnsi" w:hAnsiTheme="minorHAnsi" w:cstheme="minorBidi"/>
      <w:sz w:val="22"/>
      <w:szCs w:val="22"/>
    </w:rPr>
    <w:tblPr>
      <w:tblStyleRowBandSize w:val="1"/>
      <w:tblStyleColBandSize w:val="1"/>
      <w:tblBorders>
        <w:top w:val="single" w:sz="2" w:space="0" w:color="58AEDA" w:themeColor="accent1" w:themeTint="99"/>
        <w:bottom w:val="single" w:sz="2" w:space="0" w:color="58AEDA" w:themeColor="accent1" w:themeTint="99"/>
        <w:insideH w:val="single" w:sz="2" w:space="0" w:color="58AEDA" w:themeColor="accent1" w:themeTint="99"/>
        <w:insideV w:val="single" w:sz="2" w:space="0" w:color="58AEDA" w:themeColor="accent1" w:themeTint="99"/>
      </w:tblBorders>
    </w:tblPr>
    <w:tblStylePr w:type="firstRow">
      <w:rPr>
        <w:b/>
        <w:bCs/>
      </w:rPr>
      <w:tblPr/>
      <w:tcPr>
        <w:tcBorders>
          <w:top w:val="nil"/>
          <w:bottom w:val="single" w:sz="12" w:space="0" w:color="58AEDA" w:themeColor="accent1" w:themeTint="99"/>
          <w:insideH w:val="nil"/>
          <w:insideV w:val="nil"/>
        </w:tcBorders>
        <w:shd w:val="clear" w:color="auto" w:fill="FFFFFF" w:themeFill="background1"/>
      </w:tcPr>
    </w:tblStylePr>
    <w:tblStylePr w:type="lastRow">
      <w:rPr>
        <w:b/>
        <w:bCs/>
      </w:rPr>
      <w:tblPr/>
      <w:tcPr>
        <w:tcBorders>
          <w:top w:val="double" w:sz="2" w:space="0" w:color="58AE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2-Accent2">
    <w:name w:val="Grid Table 2 Accent 2"/>
    <w:basedOn w:val="TableNormal"/>
    <w:uiPriority w:val="47"/>
    <w:rsid w:val="00404474"/>
    <w:rPr>
      <w:rFonts w:asciiTheme="minorHAnsi" w:hAnsiTheme="minorHAnsi" w:cstheme="minorBidi"/>
      <w:sz w:val="22"/>
      <w:szCs w:val="22"/>
    </w:rPr>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character" w:customStyle="1" w:styleId="Heading4Char">
    <w:name w:val="Heading 4 Char"/>
    <w:basedOn w:val="DefaultParagraphFont"/>
    <w:link w:val="Heading4"/>
    <w:uiPriority w:val="9"/>
    <w:rsid w:val="008925D0"/>
    <w:rPr>
      <w:rFonts w:ascii="Arial" w:hAnsi="Arial" w:cstheme="minorBidi"/>
      <w:b/>
      <w:color w:val="1F688D"/>
      <w:sz w:val="22"/>
      <w:szCs w:val="22"/>
    </w:rPr>
  </w:style>
  <w:style w:type="character" w:customStyle="1" w:styleId="Heading5Char">
    <w:name w:val="Heading 5 Char"/>
    <w:basedOn w:val="DefaultParagraphFont"/>
    <w:link w:val="Heading5"/>
    <w:uiPriority w:val="9"/>
    <w:rsid w:val="00404474"/>
    <w:rPr>
      <w:rFonts w:ascii="Arial" w:hAnsi="Arial" w:cstheme="minorBidi"/>
      <w:i/>
      <w:color w:val="1F688D"/>
      <w:szCs w:val="22"/>
    </w:rPr>
  </w:style>
  <w:style w:type="character" w:customStyle="1" w:styleId="Heading6Char">
    <w:name w:val="Heading 6 Char"/>
    <w:basedOn w:val="DefaultParagraphFont"/>
    <w:link w:val="Heading6"/>
    <w:uiPriority w:val="9"/>
    <w:rsid w:val="00404474"/>
    <w:rPr>
      <w:rFonts w:ascii="Arial" w:eastAsia="Times New Roman" w:hAnsi="Arial"/>
      <w:color w:val="1F688D"/>
      <w:u w:val="single"/>
    </w:rPr>
  </w:style>
  <w:style w:type="table" w:styleId="GridTable2-Accent3">
    <w:name w:val="Grid Table 2 Accent 3"/>
    <w:basedOn w:val="TableNormal"/>
    <w:uiPriority w:val="47"/>
    <w:rsid w:val="00404474"/>
    <w:rPr>
      <w:rFonts w:asciiTheme="minorHAnsi" w:hAnsiTheme="minorHAnsi" w:cstheme="minorBidi"/>
      <w:sz w:val="22"/>
      <w:szCs w:val="22"/>
    </w:rPr>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3-Accent1">
    <w:name w:val="Grid Table 3 Accent 1"/>
    <w:basedOn w:val="TableNormal"/>
    <w:uiPriority w:val="48"/>
    <w:rsid w:val="00404474"/>
    <w:rPr>
      <w:rFonts w:asciiTheme="minorHAnsi" w:hAnsiTheme="minorHAnsi" w:cstheme="minorBidi"/>
      <w:sz w:val="22"/>
      <w:szCs w:val="22"/>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styleId="GridTable3-Accent2">
    <w:name w:val="Grid Table 3 Accent 2"/>
    <w:basedOn w:val="TableNormal"/>
    <w:uiPriority w:val="48"/>
    <w:rsid w:val="00404474"/>
    <w:rPr>
      <w:rFonts w:asciiTheme="minorHAnsi" w:hAnsiTheme="minorHAnsi" w:cstheme="minorBidi"/>
      <w:sz w:val="22"/>
      <w:szCs w:val="22"/>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3-Accent6">
    <w:name w:val="Grid Table 3 Accent 6"/>
    <w:basedOn w:val="TableNormal"/>
    <w:uiPriority w:val="48"/>
    <w:rsid w:val="00404474"/>
    <w:rPr>
      <w:rFonts w:asciiTheme="minorHAnsi" w:hAnsiTheme="minorHAnsi" w:cstheme="minorBidi"/>
      <w:sz w:val="22"/>
      <w:szCs w:val="22"/>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
    <w:name w:val="Grid Table 4"/>
    <w:basedOn w:val="TableNormal"/>
    <w:uiPriority w:val="49"/>
    <w:rsid w:val="00404474"/>
    <w:rPr>
      <w:rFonts w:ascii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04474"/>
    <w:rPr>
      <w:rFonts w:asciiTheme="minorHAnsi" w:hAnsiTheme="minorHAnsi" w:cstheme="minorBidi"/>
      <w:sz w:val="22"/>
      <w:szCs w:val="22"/>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insideV w:val="nil"/>
        </w:tcBorders>
        <w:shd w:val="clear" w:color="auto" w:fill="1F688D" w:themeFill="accent1"/>
      </w:tcPr>
    </w:tblStylePr>
    <w:tblStylePr w:type="lastRow">
      <w:rPr>
        <w:b/>
        <w:bCs/>
      </w:rPr>
      <w:tblPr/>
      <w:tcPr>
        <w:tcBorders>
          <w:top w:val="double" w:sz="4" w:space="0" w:color="1F688D" w:themeColor="accent1"/>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4-Accent2">
    <w:name w:val="Grid Table 4 Accent 2"/>
    <w:basedOn w:val="TableNormal"/>
    <w:uiPriority w:val="49"/>
    <w:rsid w:val="00404474"/>
    <w:rPr>
      <w:rFonts w:asciiTheme="minorHAnsi" w:hAnsiTheme="minorHAnsi" w:cstheme="minorBidi"/>
      <w:sz w:val="22"/>
      <w:szCs w:val="22"/>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4-Accent3">
    <w:name w:val="Grid Table 4 Accent 3"/>
    <w:basedOn w:val="TableNormal"/>
    <w:uiPriority w:val="49"/>
    <w:rsid w:val="00404474"/>
    <w:rPr>
      <w:rFonts w:asciiTheme="minorHAnsi" w:hAnsiTheme="minorHAnsi" w:cstheme="minorBidi"/>
      <w:sz w:val="22"/>
      <w:szCs w:val="22"/>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4-Accent4">
    <w:name w:val="Grid Table 4 Accent 4"/>
    <w:basedOn w:val="TableNormal"/>
    <w:uiPriority w:val="49"/>
    <w:rsid w:val="00404474"/>
    <w:rPr>
      <w:rFonts w:asciiTheme="minorHAnsi" w:hAnsiTheme="minorHAnsi" w:cstheme="minorBidi"/>
      <w:sz w:val="22"/>
      <w:szCs w:val="22"/>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4-Accent5">
    <w:name w:val="Grid Table 4 Accent 5"/>
    <w:basedOn w:val="TableNormal"/>
    <w:uiPriority w:val="49"/>
    <w:rsid w:val="00404474"/>
    <w:rPr>
      <w:rFonts w:asciiTheme="minorHAnsi" w:hAnsiTheme="minorHAnsi" w:cstheme="minorBidi"/>
      <w:sz w:val="22"/>
      <w:szCs w:val="22"/>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4-Accent6">
    <w:name w:val="Grid Table 4 Accent 6"/>
    <w:basedOn w:val="TableNormal"/>
    <w:uiPriority w:val="49"/>
    <w:rsid w:val="00404474"/>
    <w:rPr>
      <w:rFonts w:asciiTheme="minorHAnsi" w:hAnsiTheme="minorHAnsi" w:cstheme="minorBidi"/>
      <w:sz w:val="22"/>
      <w:szCs w:val="22"/>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404474"/>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04474"/>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styleId="GridTable5Dark-Accent3">
    <w:name w:val="Grid Table 5 Dark Accent 3"/>
    <w:basedOn w:val="TableNormal"/>
    <w:uiPriority w:val="50"/>
    <w:rsid w:val="00404474"/>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styleId="GridTable5Dark-Accent4">
    <w:name w:val="Grid Table 5 Dark Accent 4"/>
    <w:basedOn w:val="TableNormal"/>
    <w:uiPriority w:val="50"/>
    <w:rsid w:val="00404474"/>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styleId="GridTable5Dark-Accent5">
    <w:name w:val="Grid Table 5 Dark Accent 5"/>
    <w:basedOn w:val="TableNormal"/>
    <w:uiPriority w:val="50"/>
    <w:rsid w:val="00404474"/>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styleId="GridTable5Dark-Accent6">
    <w:name w:val="Grid Table 5 Dark Accent 6"/>
    <w:basedOn w:val="TableNormal"/>
    <w:uiPriority w:val="50"/>
    <w:rsid w:val="00404474"/>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styleId="GridTable6Colorful">
    <w:name w:val="Grid Table 6 Colorful"/>
    <w:basedOn w:val="TableNormal"/>
    <w:uiPriority w:val="51"/>
    <w:rsid w:val="00404474"/>
    <w:rPr>
      <w:rFonts w:ascii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04474"/>
    <w:rPr>
      <w:rFonts w:asciiTheme="minorHAnsi" w:hAnsiTheme="minorHAnsi" w:cstheme="minorBidi"/>
      <w:color w:val="174D69" w:themeColor="accent1" w:themeShade="BF"/>
      <w:sz w:val="22"/>
      <w:szCs w:val="22"/>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bottom w:val="single" w:sz="12" w:space="0" w:color="58AEDA" w:themeColor="accent1" w:themeTint="99"/>
        </w:tcBorders>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6Colorful-Accent2">
    <w:name w:val="Grid Table 6 Colorful Accent 2"/>
    <w:basedOn w:val="TableNormal"/>
    <w:uiPriority w:val="51"/>
    <w:rsid w:val="00404474"/>
    <w:rPr>
      <w:rFonts w:asciiTheme="minorHAnsi" w:hAnsiTheme="minorHAnsi" w:cstheme="minorBidi"/>
      <w:color w:val="1E9FD1" w:themeColor="accent2" w:themeShade="BF"/>
      <w:sz w:val="22"/>
      <w:szCs w:val="22"/>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6Colorful-Accent3">
    <w:name w:val="Grid Table 6 Colorful Accent 3"/>
    <w:basedOn w:val="TableNormal"/>
    <w:uiPriority w:val="51"/>
    <w:rsid w:val="00404474"/>
    <w:rPr>
      <w:rFonts w:asciiTheme="minorHAnsi" w:hAnsiTheme="minorHAnsi" w:cstheme="minorBidi"/>
      <w:color w:val="5CD0ED" w:themeColor="accent3" w:themeShade="BF"/>
      <w:sz w:val="22"/>
      <w:szCs w:val="22"/>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6Colorful-Accent4">
    <w:name w:val="Grid Table 6 Colorful Accent 4"/>
    <w:basedOn w:val="TableNormal"/>
    <w:uiPriority w:val="51"/>
    <w:rsid w:val="00404474"/>
    <w:rPr>
      <w:rFonts w:asciiTheme="minorHAnsi" w:hAnsiTheme="minorHAnsi" w:cstheme="minorBidi"/>
      <w:color w:val="159273" w:themeColor="accent4" w:themeShade="BF"/>
      <w:sz w:val="22"/>
      <w:szCs w:val="22"/>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6Colorful-Accent5">
    <w:name w:val="Grid Table 6 Colorful Accent 5"/>
    <w:basedOn w:val="TableNormal"/>
    <w:uiPriority w:val="51"/>
    <w:rsid w:val="00404474"/>
    <w:rPr>
      <w:rFonts w:asciiTheme="minorHAnsi" w:hAnsiTheme="minorHAnsi" w:cstheme="minorBidi"/>
      <w:color w:val="334953" w:themeColor="accent5" w:themeShade="BF"/>
      <w:sz w:val="22"/>
      <w:szCs w:val="22"/>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6Colorful-Accent6">
    <w:name w:val="Grid Table 6 Colorful Accent 6"/>
    <w:basedOn w:val="TableNormal"/>
    <w:uiPriority w:val="51"/>
    <w:rsid w:val="00404474"/>
    <w:rPr>
      <w:rFonts w:asciiTheme="minorHAnsi" w:hAnsiTheme="minorHAnsi" w:cstheme="minorBidi"/>
      <w:color w:val="152847" w:themeColor="accent6" w:themeShade="BF"/>
      <w:sz w:val="22"/>
      <w:szCs w:val="22"/>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404474"/>
    <w:rPr>
      <w:rFonts w:ascii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04474"/>
    <w:rPr>
      <w:rFonts w:asciiTheme="minorHAnsi" w:hAnsiTheme="minorHAnsi" w:cstheme="minorBidi"/>
      <w:color w:val="174D69" w:themeColor="accent1" w:themeShade="BF"/>
      <w:sz w:val="22"/>
      <w:szCs w:val="22"/>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styleId="GridTable7Colorful-Accent2">
    <w:name w:val="Grid Table 7 Colorful Accent 2"/>
    <w:basedOn w:val="TableNormal"/>
    <w:uiPriority w:val="52"/>
    <w:rsid w:val="00404474"/>
    <w:rPr>
      <w:rFonts w:asciiTheme="minorHAnsi" w:hAnsiTheme="minorHAnsi" w:cstheme="minorBidi"/>
      <w:color w:val="1E9FD1" w:themeColor="accent2" w:themeShade="BF"/>
      <w:sz w:val="22"/>
      <w:szCs w:val="22"/>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7Colorful-Accent3">
    <w:name w:val="Grid Table 7 Colorful Accent 3"/>
    <w:basedOn w:val="TableNormal"/>
    <w:uiPriority w:val="52"/>
    <w:rsid w:val="00404474"/>
    <w:rPr>
      <w:rFonts w:asciiTheme="minorHAnsi" w:hAnsiTheme="minorHAnsi" w:cstheme="minorBidi"/>
      <w:color w:val="5CD0ED" w:themeColor="accent3" w:themeShade="BF"/>
      <w:sz w:val="22"/>
      <w:szCs w:val="22"/>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styleId="GridTable7Colorful-Accent4">
    <w:name w:val="Grid Table 7 Colorful Accent 4"/>
    <w:basedOn w:val="TableNormal"/>
    <w:uiPriority w:val="52"/>
    <w:rsid w:val="00404474"/>
    <w:rPr>
      <w:rFonts w:asciiTheme="minorHAnsi" w:hAnsiTheme="minorHAnsi" w:cstheme="minorBidi"/>
      <w:color w:val="159273" w:themeColor="accent4" w:themeShade="BF"/>
      <w:sz w:val="22"/>
      <w:szCs w:val="22"/>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styleId="GridTable7Colorful-Accent5">
    <w:name w:val="Grid Table 7 Colorful Accent 5"/>
    <w:basedOn w:val="TableNormal"/>
    <w:uiPriority w:val="52"/>
    <w:rsid w:val="00404474"/>
    <w:rPr>
      <w:rFonts w:asciiTheme="minorHAnsi" w:hAnsiTheme="minorHAnsi" w:cstheme="minorBidi"/>
      <w:color w:val="334953" w:themeColor="accent5" w:themeShade="BF"/>
      <w:sz w:val="22"/>
      <w:szCs w:val="22"/>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paragraph" w:styleId="Header">
    <w:name w:val="header"/>
    <w:basedOn w:val="Normal"/>
    <w:link w:val="HeaderChar"/>
    <w:uiPriority w:val="99"/>
    <w:unhideWhenUsed/>
    <w:rsid w:val="00404474"/>
    <w:pPr>
      <w:tabs>
        <w:tab w:val="center" w:pos="4513"/>
        <w:tab w:val="right" w:pos="9026"/>
      </w:tabs>
    </w:pPr>
  </w:style>
  <w:style w:type="character" w:customStyle="1" w:styleId="HeaderChar">
    <w:name w:val="Header Char"/>
    <w:basedOn w:val="DefaultParagraphFont"/>
    <w:link w:val="Header"/>
    <w:uiPriority w:val="99"/>
    <w:rsid w:val="00404474"/>
    <w:rPr>
      <w:rFonts w:ascii="Arial" w:hAnsi="Arial" w:cstheme="minorBidi"/>
      <w:szCs w:val="22"/>
    </w:rPr>
  </w:style>
  <w:style w:type="character" w:styleId="Hyperlink">
    <w:name w:val="Hyperlink"/>
    <w:basedOn w:val="DefaultParagraphFont"/>
    <w:uiPriority w:val="99"/>
    <w:unhideWhenUsed/>
    <w:rsid w:val="00404474"/>
    <w:rPr>
      <w:color w:val="4B7CCA" w:themeColor="hyperlink"/>
      <w:u w:val="single"/>
    </w:rPr>
  </w:style>
  <w:style w:type="paragraph" w:styleId="ListParagraph">
    <w:name w:val="List Paragraph"/>
    <w:basedOn w:val="Normal"/>
    <w:uiPriority w:val="34"/>
    <w:rsid w:val="00404474"/>
    <w:pPr>
      <w:spacing w:before="60" w:after="60" w:line="300" w:lineRule="auto"/>
    </w:pPr>
  </w:style>
  <w:style w:type="table" w:styleId="ListTable4-Accent1">
    <w:name w:val="List Table 4 Accent 1"/>
    <w:basedOn w:val="TableNormal"/>
    <w:uiPriority w:val="49"/>
    <w:rsid w:val="00404474"/>
    <w:rPr>
      <w:rFonts w:asciiTheme="minorHAnsi" w:hAnsiTheme="minorHAnsi" w:cstheme="minorBidi"/>
      <w:sz w:val="22"/>
      <w:szCs w:val="22"/>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tcBorders>
        <w:shd w:val="clear" w:color="auto" w:fill="1F688D" w:themeFill="accent1"/>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ListTable4-Accent2">
    <w:name w:val="List Table 4 Accent 2"/>
    <w:basedOn w:val="TableNormal"/>
    <w:uiPriority w:val="49"/>
    <w:rsid w:val="00404474"/>
    <w:rPr>
      <w:rFonts w:asciiTheme="minorHAnsi" w:hAnsiTheme="minorHAnsi" w:cstheme="minorBidi"/>
      <w:sz w:val="22"/>
      <w:szCs w:val="22"/>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ListTable4-Accent5">
    <w:name w:val="List Table 4 Accent 5"/>
    <w:basedOn w:val="TableNormal"/>
    <w:uiPriority w:val="49"/>
    <w:rsid w:val="00404474"/>
    <w:rPr>
      <w:rFonts w:asciiTheme="minorHAnsi" w:hAnsiTheme="minorHAnsi" w:cstheme="minorBidi"/>
      <w:sz w:val="22"/>
      <w:szCs w:val="22"/>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ListTable7Colorful-Accent3">
    <w:name w:val="List Table 7 Colorful Accent 3"/>
    <w:basedOn w:val="TableNormal"/>
    <w:uiPriority w:val="52"/>
    <w:rsid w:val="00404474"/>
    <w:rPr>
      <w:rFonts w:asciiTheme="minorHAnsi" w:hAnsiTheme="minorHAnsi" w:cstheme="minorBidi"/>
      <w:color w:val="5CD0ED"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04474"/>
    <w:rPr>
      <w:rFonts w:asciiTheme="minorHAnsi" w:hAnsiTheme="minorHAnsi" w:cstheme="minorBidi"/>
      <w:color w:val="159273"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04474"/>
    <w:rPr>
      <w:rFonts w:asciiTheme="minorHAnsi" w:hAnsiTheme="minorHAnsi" w:cstheme="minorBidi"/>
      <w:color w:val="334953"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04474"/>
    <w:rPr>
      <w:rFonts w:asciiTheme="minorHAnsi" w:hAnsiTheme="minorHAnsi" w:cstheme="minorBidi"/>
      <w:color w:val="152847"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ajorHeading">
    <w:name w:val="Major Heading"/>
    <w:basedOn w:val="Normal"/>
    <w:next w:val="Body"/>
    <w:link w:val="MajorHeadingChar"/>
    <w:qFormat/>
    <w:rsid w:val="00613F4D"/>
    <w:pPr>
      <w:spacing w:before="600"/>
    </w:pPr>
    <w:rPr>
      <w:rFonts w:ascii="Arial" w:hAnsi="Arial" w:cs="Arial"/>
      <w:b/>
      <w:bCs/>
      <w:sz w:val="60"/>
      <w:szCs w:val="60"/>
    </w:rPr>
  </w:style>
  <w:style w:type="character" w:customStyle="1" w:styleId="MajorHeadingChar">
    <w:name w:val="Major Heading Char"/>
    <w:basedOn w:val="Heading1Char"/>
    <w:link w:val="MajorHeading"/>
    <w:rsid w:val="00613F4D"/>
    <w:rPr>
      <w:rFonts w:ascii="Arial" w:eastAsia="HelveticaNeueLTStd-Roman" w:hAnsi="Arial" w:cs="Arial"/>
      <w:bCs/>
      <w:sz w:val="60"/>
      <w:szCs w:val="60"/>
      <w:lang w:val="en-US"/>
    </w:rPr>
  </w:style>
  <w:style w:type="character" w:styleId="PlaceholderText">
    <w:name w:val="Placeholder Text"/>
    <w:basedOn w:val="DefaultParagraphFont"/>
    <w:uiPriority w:val="99"/>
    <w:semiHidden/>
    <w:rsid w:val="00404474"/>
    <w:rPr>
      <w:color w:val="808080"/>
    </w:rPr>
  </w:style>
  <w:style w:type="paragraph" w:styleId="Quote">
    <w:name w:val="Quote"/>
    <w:basedOn w:val="Normal"/>
    <w:next w:val="Normal"/>
    <w:link w:val="QuoteChar"/>
    <w:uiPriority w:val="29"/>
    <w:qFormat/>
    <w:rsid w:val="00404474"/>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04474"/>
    <w:rPr>
      <w:rFonts w:ascii="Arial" w:hAnsi="Arial" w:cstheme="minorBidi"/>
      <w:i/>
      <w:iCs/>
      <w:color w:val="404040" w:themeColor="text1" w:themeTint="BF"/>
      <w:szCs w:val="22"/>
    </w:rPr>
  </w:style>
  <w:style w:type="table" w:customStyle="1" w:styleId="SRC">
    <w:name w:val="SRC"/>
    <w:basedOn w:val="TableNormal"/>
    <w:uiPriority w:val="99"/>
    <w:rsid w:val="00404474"/>
    <w:pPr>
      <w:spacing w:before="60" w:after="60"/>
    </w:pPr>
    <w:rPr>
      <w:rFonts w:ascii="Arial" w:hAnsi="Arial" w:cstheme="minorBidi"/>
      <w:sz w:val="18"/>
      <w:szCs w:val="22"/>
    </w:rPr>
    <w:tblPr>
      <w:tblStyleRowBandSize w:val="1"/>
      <w:tblStyleColBandSize w:val="1"/>
      <w:tblBorders>
        <w:bottom w:val="single" w:sz="4" w:space="0" w:color="1F688D" w:themeColor="accent1"/>
      </w:tblBorders>
    </w:tblPr>
    <w:tblStylePr w:type="firstRow">
      <w:pPr>
        <w:wordWrap/>
        <w:spacing w:beforeLines="0" w:before="60" w:beforeAutospacing="0" w:afterLines="0" w:after="60" w:afterAutospacing="0" w:line="240" w:lineRule="auto"/>
        <w:contextualSpacing w:val="0"/>
        <w:jc w:val="left"/>
      </w:pPr>
      <w:rPr>
        <w:rFonts w:ascii="Arial" w:hAnsi="Arial"/>
        <w:b/>
        <w:color w:val="FFFFFF" w:themeColor="background1"/>
        <w:sz w:val="18"/>
      </w:rPr>
      <w:tblPr/>
      <w:tcPr>
        <w:shd w:val="clear" w:color="auto" w:fill="1F688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lastCol">
      <w:pPr>
        <w:wordWrap/>
        <w:jc w:val="left"/>
      </w:pPr>
    </w:tblStylePr>
    <w:tblStylePr w:type="band1Vert">
      <w:pPr>
        <w:wordWrap/>
        <w:spacing w:beforeLines="0" w:before="60" w:beforeAutospacing="0" w:afterLines="0" w:after="60" w:afterAutospacing="0" w:line="240" w:lineRule="auto"/>
        <w:ind w:rightChars="0" w:right="113"/>
        <w:contextualSpacing w:val="0"/>
        <w:jc w:val="lef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lef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left"/>
      </w:pPr>
      <w:rPr>
        <w:rFonts w:ascii="Arial" w:hAnsi="Arial"/>
        <w:sz w:val="18"/>
      </w:rPr>
      <w:tblPr/>
      <w:tcPr>
        <w:shd w:val="clear" w:color="auto" w:fill="C7E4F2" w:themeFill="accent1" w:themeFillTint="33"/>
        <w:vAlign w:val="center"/>
      </w:tcPr>
    </w:tblStylePr>
    <w:tblStylePr w:type="band2Horz">
      <w:pPr>
        <w:wordWrap/>
        <w:spacing w:beforeLines="0" w:before="60" w:beforeAutospacing="0" w:afterLines="0" w:after="60" w:afterAutospacing="0"/>
        <w:contextualSpacing w:val="0"/>
        <w:jc w:val="left"/>
      </w:pPr>
      <w:tblPr/>
      <w:tcPr>
        <w:vAlign w:val="center"/>
      </w:tcPr>
    </w:tblStylePr>
    <w:tblStylePr w:type="nwCell">
      <w:pPr>
        <w:wordWrap/>
        <w:jc w:val="left"/>
      </w:pPr>
    </w:tblStylePr>
  </w:style>
  <w:style w:type="paragraph" w:styleId="Title">
    <w:name w:val="Title"/>
    <w:basedOn w:val="Normal"/>
    <w:next w:val="Body"/>
    <w:link w:val="TitleChar"/>
    <w:uiPriority w:val="10"/>
    <w:rsid w:val="00404474"/>
    <w:rPr>
      <w:b/>
      <w:color w:val="1F688D"/>
      <w:sz w:val="56"/>
      <w:szCs w:val="56"/>
    </w:rPr>
  </w:style>
  <w:style w:type="character" w:customStyle="1" w:styleId="TitleChar">
    <w:name w:val="Title Char"/>
    <w:basedOn w:val="DefaultParagraphFont"/>
    <w:link w:val="Title"/>
    <w:uiPriority w:val="10"/>
    <w:rsid w:val="00404474"/>
    <w:rPr>
      <w:rFonts w:ascii="Arial" w:hAnsi="Arial" w:cstheme="minorBidi"/>
      <w:b/>
      <w:color w:val="1F688D"/>
      <w:sz w:val="56"/>
      <w:szCs w:val="56"/>
    </w:rPr>
  </w:style>
  <w:style w:type="paragraph" w:styleId="Subtitle">
    <w:name w:val="Subtitle"/>
    <w:basedOn w:val="Title"/>
    <w:next w:val="Body"/>
    <w:link w:val="SubtitleChar"/>
    <w:uiPriority w:val="11"/>
    <w:qFormat/>
    <w:rsid w:val="00404474"/>
    <w:pPr>
      <w:spacing w:before="120"/>
    </w:pPr>
    <w:rPr>
      <w:color w:val="000000" w:themeColor="text1"/>
      <w:sz w:val="44"/>
      <w:szCs w:val="44"/>
    </w:rPr>
  </w:style>
  <w:style w:type="character" w:customStyle="1" w:styleId="SubtitleChar">
    <w:name w:val="Subtitle Char"/>
    <w:basedOn w:val="DefaultParagraphFont"/>
    <w:link w:val="Subtitle"/>
    <w:uiPriority w:val="11"/>
    <w:rsid w:val="00404474"/>
    <w:rPr>
      <w:rFonts w:ascii="Arial" w:hAnsi="Arial" w:cstheme="minorBidi"/>
      <w:b/>
      <w:color w:val="000000" w:themeColor="text1"/>
      <w:sz w:val="44"/>
      <w:szCs w:val="44"/>
    </w:rPr>
  </w:style>
  <w:style w:type="paragraph" w:customStyle="1" w:styleId="SubHeading1">
    <w:name w:val="Sub Heading 1"/>
    <w:basedOn w:val="Subtitle"/>
    <w:next w:val="Body"/>
    <w:link w:val="SubHeading1Char"/>
    <w:rsid w:val="0074077B"/>
    <w:pPr>
      <w:keepNext/>
      <w:spacing w:before="240" w:after="120"/>
      <w:outlineLvl w:val="1"/>
    </w:pPr>
    <w:rPr>
      <w:color w:val="1F688D"/>
      <w:sz w:val="32"/>
      <w:szCs w:val="32"/>
    </w:rPr>
  </w:style>
  <w:style w:type="character" w:customStyle="1" w:styleId="SubHeading1Char">
    <w:name w:val="Sub Heading 1 Char"/>
    <w:basedOn w:val="DefaultParagraphFont"/>
    <w:link w:val="SubHeading1"/>
    <w:rsid w:val="0074077B"/>
    <w:rPr>
      <w:rFonts w:ascii="Arial" w:hAnsi="Arial" w:cstheme="minorBidi"/>
      <w:b/>
      <w:color w:val="1F688D"/>
      <w:sz w:val="32"/>
      <w:szCs w:val="32"/>
    </w:rPr>
  </w:style>
  <w:style w:type="character" w:customStyle="1" w:styleId="Heading7Char">
    <w:name w:val="Heading 7 Char"/>
    <w:basedOn w:val="DefaultParagraphFont"/>
    <w:link w:val="Heading7"/>
    <w:uiPriority w:val="9"/>
    <w:rsid w:val="00404474"/>
    <w:rPr>
      <w:rFonts w:ascii="Arial" w:eastAsiaTheme="majorEastAsia" w:hAnsi="Arial" w:cs="Arial"/>
      <w:i/>
      <w:iCs/>
      <w:color w:val="1F688D"/>
      <w:szCs w:val="22"/>
    </w:rPr>
  </w:style>
  <w:style w:type="paragraph" w:customStyle="1" w:styleId="TableFormat">
    <w:name w:val="Table Format"/>
    <w:basedOn w:val="Body"/>
    <w:next w:val="Body"/>
    <w:rsid w:val="00404474"/>
    <w:pPr>
      <w:spacing w:before="60" w:after="60" w:line="240" w:lineRule="auto"/>
    </w:pPr>
  </w:style>
  <w:style w:type="table" w:styleId="TableGrid">
    <w:name w:val="Table Grid"/>
    <w:basedOn w:val="TableNormal"/>
    <w:uiPriority w:val="39"/>
    <w:rsid w:val="00F604E8"/>
    <w:pPr>
      <w:spacing w:before="60" w:after="60"/>
      <w:jc w:val="center"/>
    </w:pPr>
    <w:rPr>
      <w:rFonts w:ascii="Arial" w:hAnsi="Arial" w:cstheme="minorBidi"/>
      <w:szCs w:val="22"/>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left"/>
      </w:pPr>
    </w:tblStylePr>
  </w:style>
  <w:style w:type="table" w:styleId="TableGridLight">
    <w:name w:val="Grid Table Light"/>
    <w:basedOn w:val="TableNormal"/>
    <w:uiPriority w:val="40"/>
    <w:rsid w:val="00404474"/>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04474"/>
    <w:pPr>
      <w:spacing w:before="60" w:after="60"/>
      <w:ind w:left="1418" w:right="567" w:hanging="1418"/>
    </w:pPr>
  </w:style>
  <w:style w:type="paragraph" w:styleId="TOC1">
    <w:name w:val="toc 1"/>
    <w:basedOn w:val="Normal"/>
    <w:next w:val="Normal"/>
    <w:autoRedefine/>
    <w:uiPriority w:val="39"/>
    <w:unhideWhenUsed/>
    <w:qFormat/>
    <w:rsid w:val="00111155"/>
    <w:pPr>
      <w:tabs>
        <w:tab w:val="left" w:pos="1418"/>
        <w:tab w:val="right" w:leader="dot" w:pos="9781"/>
      </w:tabs>
      <w:spacing w:before="60" w:after="60" w:line="300" w:lineRule="auto"/>
      <w:ind w:left="567" w:hanging="567"/>
    </w:pPr>
    <w:rPr>
      <w:rFonts w:ascii="Arial" w:eastAsia="Times New Roman" w:hAnsi="Arial" w:cs="Times New Roman"/>
      <w:noProof/>
      <w:color w:val="000000" w:themeColor="text1"/>
      <w:sz w:val="21"/>
      <w:szCs w:val="20"/>
    </w:rPr>
  </w:style>
  <w:style w:type="paragraph" w:styleId="TOC2">
    <w:name w:val="toc 2"/>
    <w:basedOn w:val="Normal"/>
    <w:next w:val="Normal"/>
    <w:link w:val="TOC2Char"/>
    <w:uiPriority w:val="39"/>
    <w:unhideWhenUsed/>
    <w:qFormat/>
    <w:rsid w:val="00404474"/>
    <w:pPr>
      <w:tabs>
        <w:tab w:val="right" w:leader="dot" w:pos="9072"/>
      </w:tabs>
      <w:spacing w:before="60" w:after="60"/>
      <w:ind w:left="1418" w:right="-2" w:hanging="851"/>
      <w:jc w:val="both"/>
    </w:pPr>
    <w:rPr>
      <w:rFonts w:eastAsia="Times New Roman" w:cs="Times New Roman"/>
      <w:noProof/>
      <w:szCs w:val="20"/>
    </w:rPr>
  </w:style>
  <w:style w:type="character" w:customStyle="1" w:styleId="TOC2Char">
    <w:name w:val="TOC 2 Char"/>
    <w:basedOn w:val="DefaultParagraphFont"/>
    <w:link w:val="TOC2"/>
    <w:uiPriority w:val="39"/>
    <w:rsid w:val="00404474"/>
    <w:rPr>
      <w:rFonts w:ascii="Arial" w:eastAsia="Times New Roman" w:hAnsi="Arial"/>
      <w:noProof/>
    </w:rPr>
  </w:style>
  <w:style w:type="paragraph" w:styleId="TOC3">
    <w:name w:val="toc 3"/>
    <w:basedOn w:val="Normal"/>
    <w:next w:val="Normal"/>
    <w:uiPriority w:val="39"/>
    <w:unhideWhenUsed/>
    <w:qFormat/>
    <w:rsid w:val="00404474"/>
    <w:pPr>
      <w:tabs>
        <w:tab w:val="left" w:pos="2268"/>
        <w:tab w:val="right" w:leader="dot" w:pos="9072"/>
      </w:tabs>
      <w:spacing w:before="60" w:after="60"/>
      <w:ind w:left="2268" w:right="-2" w:hanging="851"/>
      <w:jc w:val="both"/>
    </w:pPr>
    <w:rPr>
      <w:rFonts w:eastAsia="Times New Roman" w:cs="Times New Roman"/>
      <w:noProof/>
      <w:szCs w:val="20"/>
    </w:rPr>
  </w:style>
  <w:style w:type="character" w:customStyle="1" w:styleId="Heading8Char">
    <w:name w:val="Heading 8 Char"/>
    <w:aliases w:val="Heading 8 do not use Char,Heading 8 not in use Char"/>
    <w:basedOn w:val="DefaultParagraphFont"/>
    <w:link w:val="Heading8"/>
    <w:rsid w:val="00A50D23"/>
    <w:rPr>
      <w:i/>
    </w:rPr>
  </w:style>
  <w:style w:type="character" w:customStyle="1" w:styleId="Heading9Char">
    <w:name w:val="Heading 9 Char"/>
    <w:aliases w:val="Heading 9 not in use Char"/>
    <w:basedOn w:val="DefaultParagraphFont"/>
    <w:link w:val="Heading9"/>
    <w:rsid w:val="00A50D23"/>
    <w:rPr>
      <w:rFonts w:ascii="Arial" w:hAnsi="Arial" w:cs="Arial"/>
      <w:b/>
      <w:color w:val="A6C12E"/>
      <w:w w:val="110"/>
      <w:sz w:val="20"/>
      <w:szCs w:val="24"/>
    </w:rPr>
  </w:style>
  <w:style w:type="paragraph" w:customStyle="1" w:styleId="List1">
    <w:name w:val="List 1"/>
    <w:basedOn w:val="Body"/>
    <w:rsid w:val="00EB54F9"/>
    <w:pPr>
      <w:numPr>
        <w:numId w:val="46"/>
      </w:numPr>
    </w:pPr>
  </w:style>
  <w:style w:type="paragraph" w:styleId="FootnoteText">
    <w:name w:val="footnote text"/>
    <w:basedOn w:val="Normal"/>
    <w:link w:val="FootnoteTextChar"/>
    <w:uiPriority w:val="99"/>
    <w:semiHidden/>
    <w:unhideWhenUsed/>
    <w:qFormat/>
    <w:rsid w:val="009F61BE"/>
    <w:rPr>
      <w:sz w:val="20"/>
      <w:szCs w:val="20"/>
    </w:rPr>
  </w:style>
  <w:style w:type="character" w:customStyle="1" w:styleId="FootnoteTextChar">
    <w:name w:val="Footnote Text Char"/>
    <w:basedOn w:val="DefaultParagraphFont"/>
    <w:link w:val="FootnoteText"/>
    <w:uiPriority w:val="99"/>
    <w:semiHidden/>
    <w:rsid w:val="009F61BE"/>
    <w:rPr>
      <w:rFonts w:ascii="HelveticaNeueLTStd-Roman" w:eastAsia="HelveticaNeueLTStd-Roman" w:hAnsi="HelveticaNeueLTStd-Roman" w:cs="HelveticaNeueLTStd-Roman"/>
      <w:lang w:val="en-US"/>
    </w:rPr>
  </w:style>
  <w:style w:type="character" w:styleId="FootnoteReference">
    <w:name w:val="footnote reference"/>
    <w:basedOn w:val="DefaultParagraphFont"/>
    <w:semiHidden/>
    <w:unhideWhenUsed/>
    <w:rsid w:val="009F61BE"/>
    <w:rPr>
      <w:vertAlign w:val="superscript"/>
    </w:rPr>
  </w:style>
  <w:style w:type="character" w:styleId="UnresolvedMention">
    <w:name w:val="Unresolved Mention"/>
    <w:basedOn w:val="DefaultParagraphFont"/>
    <w:uiPriority w:val="99"/>
    <w:semiHidden/>
    <w:unhideWhenUsed/>
    <w:rsid w:val="00924D86"/>
    <w:rPr>
      <w:color w:val="605E5C"/>
      <w:shd w:val="clear" w:color="auto" w:fill="E1DFDD"/>
    </w:rPr>
  </w:style>
  <w:style w:type="table" w:styleId="GridTable1Light">
    <w:name w:val="Grid Table 1 Light"/>
    <w:basedOn w:val="TableNormal"/>
    <w:uiPriority w:val="46"/>
    <w:rsid w:val="002071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EDC">
    <w:name w:val="AEDC"/>
    <w:basedOn w:val="TableNormal"/>
    <w:uiPriority w:val="99"/>
    <w:rsid w:val="006F79BD"/>
    <w:tblPr/>
  </w:style>
  <w:style w:type="character" w:styleId="CommentReference">
    <w:name w:val="annotation reference"/>
    <w:basedOn w:val="DefaultParagraphFont"/>
    <w:semiHidden/>
    <w:unhideWhenUsed/>
    <w:rsid w:val="005274AC"/>
    <w:rPr>
      <w:sz w:val="16"/>
      <w:szCs w:val="16"/>
    </w:rPr>
  </w:style>
  <w:style w:type="paragraph" w:styleId="CommentText">
    <w:name w:val="annotation text"/>
    <w:basedOn w:val="Normal"/>
    <w:link w:val="CommentTextChar"/>
    <w:semiHidden/>
    <w:unhideWhenUsed/>
    <w:rsid w:val="005274AC"/>
    <w:rPr>
      <w:sz w:val="20"/>
      <w:szCs w:val="20"/>
    </w:rPr>
  </w:style>
  <w:style w:type="character" w:customStyle="1" w:styleId="CommentTextChar">
    <w:name w:val="Comment Text Char"/>
    <w:basedOn w:val="DefaultParagraphFont"/>
    <w:link w:val="CommentText"/>
    <w:semiHidden/>
    <w:rsid w:val="005274AC"/>
    <w:rPr>
      <w:rFonts w:ascii="HelveticaNeueLTStd-Roman" w:eastAsia="HelveticaNeueLTStd-Roman" w:hAnsi="HelveticaNeueLTStd-Roman" w:cs="HelveticaNeueLTStd-Roman"/>
      <w:lang w:val="en-US"/>
    </w:rPr>
  </w:style>
  <w:style w:type="paragraph" w:styleId="CommentSubject">
    <w:name w:val="annotation subject"/>
    <w:basedOn w:val="CommentText"/>
    <w:next w:val="CommentText"/>
    <w:link w:val="CommentSubjectChar"/>
    <w:semiHidden/>
    <w:unhideWhenUsed/>
    <w:rsid w:val="005274AC"/>
    <w:rPr>
      <w:b/>
      <w:bCs/>
    </w:rPr>
  </w:style>
  <w:style w:type="character" w:customStyle="1" w:styleId="CommentSubjectChar">
    <w:name w:val="Comment Subject Char"/>
    <w:basedOn w:val="CommentTextChar"/>
    <w:link w:val="CommentSubject"/>
    <w:semiHidden/>
    <w:rsid w:val="005274AC"/>
    <w:rPr>
      <w:rFonts w:ascii="HelveticaNeueLTStd-Roman" w:eastAsia="HelveticaNeueLTStd-Roman" w:hAnsi="HelveticaNeueLTStd-Roman" w:cs="HelveticaNeueLTStd-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13337">
      <w:bodyDiv w:val="1"/>
      <w:marLeft w:val="0"/>
      <w:marRight w:val="0"/>
      <w:marTop w:val="0"/>
      <w:marBottom w:val="0"/>
      <w:divBdr>
        <w:top w:val="none" w:sz="0" w:space="0" w:color="auto"/>
        <w:left w:val="none" w:sz="0" w:space="0" w:color="auto"/>
        <w:bottom w:val="none" w:sz="0" w:space="0" w:color="auto"/>
        <w:right w:val="none" w:sz="0" w:space="0" w:color="auto"/>
      </w:divBdr>
    </w:div>
    <w:div w:id="440075346">
      <w:bodyDiv w:val="1"/>
      <w:marLeft w:val="0"/>
      <w:marRight w:val="0"/>
      <w:marTop w:val="0"/>
      <w:marBottom w:val="0"/>
      <w:divBdr>
        <w:top w:val="none" w:sz="0" w:space="0" w:color="auto"/>
        <w:left w:val="none" w:sz="0" w:space="0" w:color="auto"/>
        <w:bottom w:val="none" w:sz="0" w:space="0" w:color="auto"/>
        <w:right w:val="none" w:sz="0" w:space="0" w:color="auto"/>
      </w:divBdr>
    </w:div>
    <w:div w:id="7167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dc.gov.au/abtdom" TargetMode="External"/><Relationship Id="rId18" Type="http://schemas.openxmlformats.org/officeDocument/2006/relationships/hyperlink" Target="http://aedc.gov.au/cs" TargetMode="External"/><Relationship Id="rId26" Type="http://schemas.openxmlformats.org/officeDocument/2006/relationships/hyperlink" Target="http://aedc.gov.au/cs" TargetMode="External"/><Relationship Id="rId39" Type="http://schemas.openxmlformats.org/officeDocument/2006/relationships/hyperlink" Target="http://aedc.gov.au/dataagree" TargetMode="External"/><Relationship Id="rId21" Type="http://schemas.openxmlformats.org/officeDocument/2006/relationships/hyperlink" Target="http://aedc.gov.au/cs" TargetMode="External"/><Relationship Id="rId34" Type="http://schemas.openxmlformats.org/officeDocument/2006/relationships/hyperlink" Target="http://aedc.gov.au/" TargetMode="External"/><Relationship Id="rId42" Type="http://schemas.openxmlformats.org/officeDocument/2006/relationships/hyperlink" Target="http://aedc.gov.au/linkage" TargetMode="External"/><Relationship Id="rId47" Type="http://schemas.openxmlformats.org/officeDocument/2006/relationships/hyperlink" Target="http://aedc.gov.au/ugr" TargetMode="External"/><Relationship Id="rId50" Type="http://schemas.openxmlformats.org/officeDocument/2006/relationships/hyperlink" Target="http://aedc.gov.au/defterm" TargetMode="External"/><Relationship Id="rId55" Type="http://schemas.openxmlformats.org/officeDocument/2006/relationships/hyperlink" Target="http://aedc.gov.au/vi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edc.gov.au/crit-diff-com" TargetMode="External"/><Relationship Id="rId29" Type="http://schemas.openxmlformats.org/officeDocument/2006/relationships/hyperlink" Target="http://aedc.gov.au/fsvalid" TargetMode="External"/><Relationship Id="rId11" Type="http://schemas.openxmlformats.org/officeDocument/2006/relationships/hyperlink" Target="http://pc.gov.au/closing-the-gap-data/dashboard/socioeconomic/outcome-area4" TargetMode="External"/><Relationship Id="rId24" Type="http://schemas.openxmlformats.org/officeDocument/2006/relationships/hyperlink" Target="http://aedc.gov.au/cs" TargetMode="External"/><Relationship Id="rId32" Type="http://schemas.openxmlformats.org/officeDocument/2006/relationships/footer" Target="footer1.xml"/><Relationship Id="rId37" Type="http://schemas.openxmlformats.org/officeDocument/2006/relationships/hyperlink" Target="http://aedc.gov.au/rp" TargetMode="External"/><Relationship Id="rId40" Type="http://schemas.openxmlformats.org/officeDocument/2006/relationships/hyperlink" Target="http://aedc.gov.au/appmacro" TargetMode="External"/><Relationship Id="rId45" Type="http://schemas.openxmlformats.org/officeDocument/2006/relationships/hyperlink" Target="http://aedc.gov.au/sectormsgs" TargetMode="External"/><Relationship Id="rId53" Type="http://schemas.openxmlformats.org/officeDocument/2006/relationships/hyperlink" Target="http://aedc.gov.au/cs"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aedc.gov.au/u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edc.gov.au/abtdom" TargetMode="External"/><Relationship Id="rId22" Type="http://schemas.openxmlformats.org/officeDocument/2006/relationships/hyperlink" Target="http://aedc.gov.au/cs" TargetMode="External"/><Relationship Id="rId27" Type="http://schemas.openxmlformats.org/officeDocument/2006/relationships/hyperlink" Target="http://aedc.gov.au/cs" TargetMode="External"/><Relationship Id="rId30" Type="http://schemas.openxmlformats.org/officeDocument/2006/relationships/hyperlink" Target="http://aedc.gov.au/trcd" TargetMode="External"/><Relationship Id="rId35" Type="http://schemas.openxmlformats.org/officeDocument/2006/relationships/hyperlink" Target="http://aedc.gov.au/data" TargetMode="External"/><Relationship Id="rId43" Type="http://schemas.openxmlformats.org/officeDocument/2006/relationships/hyperlink" Target="http://aedc.gov.au/dataguide" TargetMode="External"/><Relationship Id="rId48" Type="http://schemas.openxmlformats.org/officeDocument/2006/relationships/hyperlink" Target="http://aedc.gov.au/abtdata" TargetMode="External"/><Relationship Id="rId56" Type="http://schemas.openxmlformats.org/officeDocument/2006/relationships/hyperlink" Target="http://aedc.gov.au/vi3" TargetMode="External"/><Relationship Id="rId8" Type="http://schemas.openxmlformats.org/officeDocument/2006/relationships/image" Target="media/image1.png"/><Relationship Id="rId51" Type="http://schemas.openxmlformats.org/officeDocument/2006/relationships/hyperlink" Target="http://aedc.gov.au/ucb" TargetMode="External"/><Relationship Id="rId3" Type="http://schemas.openxmlformats.org/officeDocument/2006/relationships/styles" Target="styles.xml"/><Relationship Id="rId12" Type="http://schemas.openxmlformats.org/officeDocument/2006/relationships/hyperlink" Target="http://pc.gov.au/closing-the-gap-data/dashboard/socioeconomic/outcome-area4" TargetMode="External"/><Relationship Id="rId17" Type="http://schemas.openxmlformats.org/officeDocument/2006/relationships/hyperlink" Target="http://aedc.gov.au/cs" TargetMode="External"/><Relationship Id="rId25" Type="http://schemas.openxmlformats.org/officeDocument/2006/relationships/hyperlink" Target="https://www.pc.gov.au/closing-the-gap-data/dashboard/socioeconomic/outcome-area4" TargetMode="External"/><Relationship Id="rId33" Type="http://schemas.openxmlformats.org/officeDocument/2006/relationships/hyperlink" Target="http://aedc.gov.au/gendiff" TargetMode="External"/><Relationship Id="rId38" Type="http://schemas.openxmlformats.org/officeDocument/2006/relationships/hyperlink" Target="http://aedc.gov.au/resources" TargetMode="External"/><Relationship Id="rId46" Type="http://schemas.openxmlformats.org/officeDocument/2006/relationships/hyperlink" Target="http://aedc.gov.au/trcd" TargetMode="External"/><Relationship Id="rId59" Type="http://schemas.openxmlformats.org/officeDocument/2006/relationships/theme" Target="theme/theme1.xml"/><Relationship Id="rId20" Type="http://schemas.openxmlformats.org/officeDocument/2006/relationships/hyperlink" Target="http://aedc.gov.au/cs" TargetMode="External"/><Relationship Id="rId41" Type="http://schemas.openxmlformats.org/officeDocument/2006/relationships/hyperlink" Target="http://aedc.gov.au/appmicro" TargetMode="External"/><Relationship Id="rId54" Type="http://schemas.openxmlformats.org/officeDocument/2006/relationships/hyperlink" Target="http://aedc.gov.au/vi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srcentre.local\drives\z\Consulting\Jobs\AEDC\2578%20AEDC%202021\11.%20Reporting\1.%20National%20Report\2021%20National%20Report_accessible%20version\aedc.gov.au\vi3" TargetMode="External"/><Relationship Id="rId23" Type="http://schemas.openxmlformats.org/officeDocument/2006/relationships/hyperlink" Target="http://aedc.gov.au/cs" TargetMode="External"/><Relationship Id="rId28" Type="http://schemas.openxmlformats.org/officeDocument/2006/relationships/hyperlink" Target="http://aedc.gov.au/fsvalid" TargetMode="External"/><Relationship Id="rId36" Type="http://schemas.openxmlformats.org/officeDocument/2006/relationships/hyperlink" Target="http://aedc.gov.au/data/downloads" TargetMode="External"/><Relationship Id="rId49" Type="http://schemas.openxmlformats.org/officeDocument/2006/relationships/hyperlink" Target="http://aedc.gov.au/abtdom" TargetMode="External"/><Relationship Id="rId57" Type="http://schemas.openxmlformats.org/officeDocument/2006/relationships/hyperlink" Target="http://aedc.gov.au/abtdom" TargetMode="External"/><Relationship Id="rId10" Type="http://schemas.openxmlformats.org/officeDocument/2006/relationships/hyperlink" Target="http://pc.gov.au/closing-the-gap-data/dashboard/socioeconomic/outcome-area4" TargetMode="External"/><Relationship Id="rId31" Type="http://schemas.openxmlformats.org/officeDocument/2006/relationships/hyperlink" Target="file:///\\srcentre.local\drives\z\Consulting\Jobs\AEDC\2578%20AEDC%202021\11.%20Reporting\1.%20National%20Report\2021%20National%20Report_accessible%20version\aedc.gov.au\cd" TargetMode="External"/><Relationship Id="rId44" Type="http://schemas.openxmlformats.org/officeDocument/2006/relationships/hyperlink" Target="mailto:support@aedc.gov.au" TargetMode="External"/><Relationship Id="rId52" Type="http://schemas.openxmlformats.org/officeDocument/2006/relationships/hyperlink" Target="http://aedc.gov.au/unde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edc.gov.au/" TargetMode="External"/><Relationship Id="rId2" Type="http://schemas.openxmlformats.org/officeDocument/2006/relationships/hyperlink" Target="http://aedc.gov.au/" TargetMode="External"/><Relationship Id="rId1" Type="http://schemas.openxmlformats.org/officeDocument/2006/relationships/hyperlink" Target="http://aedc.gov.au/" TargetMode="External"/></Relationship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88D"/>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9700-102C-4C7F-896D-45006218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19639</Words>
  <Characters>111945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Clark</dc:creator>
  <cp:keywords/>
  <dc:description/>
  <cp:lastModifiedBy>Liz Ernst</cp:lastModifiedBy>
  <cp:revision>2</cp:revision>
  <dcterms:created xsi:type="dcterms:W3CDTF">2025-03-19T03:39:00Z</dcterms:created>
  <dcterms:modified xsi:type="dcterms:W3CDTF">2025-03-19T03:39:00Z</dcterms:modified>
</cp:coreProperties>
</file>