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B990B" w14:textId="303088F9" w:rsidR="002633B6" w:rsidRPr="007800ED" w:rsidRDefault="002633B6" w:rsidP="00207CA5">
      <w:pPr>
        <w:pStyle w:val="Title"/>
        <w:rPr>
          <w:rFonts w:eastAsia="HelveticaNeueLT Com 55 Roman"/>
          <w:w w:val="105"/>
          <w:lang w:val="en-US" w:bidi="en-US"/>
        </w:rPr>
      </w:pPr>
      <w:r w:rsidRPr="007800ED">
        <w:rPr>
          <w:rFonts w:eastAsia="HelveticaNeueLT Com 55 Roman"/>
          <w:w w:val="105"/>
          <w:lang w:val="en-US" w:bidi="en-US"/>
        </w:rPr>
        <w:t>Policy Placemat</w:t>
      </w:r>
    </w:p>
    <w:p w14:paraId="2871A29F" w14:textId="77777777" w:rsidR="002633B6" w:rsidRPr="007800ED" w:rsidRDefault="002633B6" w:rsidP="00207CA5"/>
    <w:p w14:paraId="0A86C095" w14:textId="2EAC0D9F" w:rsidR="002633B6" w:rsidRDefault="002633B6" w:rsidP="00207CA5">
      <w:r w:rsidRPr="007800ED">
        <w:t>This document summarises</w:t>
      </w:r>
      <w:r w:rsidR="00A077A4" w:rsidRPr="007800ED">
        <w:t xml:space="preserve"> high level trends in AEDC data, which has been learned from AEDC research, and highlights key policy and research</w:t>
      </w:r>
      <w:r w:rsidRPr="007800ED">
        <w:t xml:space="preserve"> gaps. </w:t>
      </w:r>
    </w:p>
    <w:p w14:paraId="6B6EF1A8" w14:textId="75644C2F" w:rsidR="00873286" w:rsidRPr="002E3CDC" w:rsidRDefault="00873286" w:rsidP="002E3CDC">
      <w:pPr>
        <w:pStyle w:val="Heading1"/>
      </w:pPr>
      <w:r w:rsidRPr="002E3CDC">
        <w:t>Section 1</w:t>
      </w:r>
      <w:r w:rsidR="00FC2AC1" w:rsidRPr="002E3CDC">
        <w:t xml:space="preserve">: </w:t>
      </w:r>
      <w:r w:rsidRPr="002E3CDC">
        <w:t>AEDC Results</w:t>
      </w:r>
    </w:p>
    <w:p w14:paraId="5DBDA4E1" w14:textId="2042E3AC" w:rsidR="00511BD8" w:rsidRPr="007800ED" w:rsidRDefault="00271105" w:rsidP="00207CA5">
      <w:pPr>
        <w:pStyle w:val="ListParagraph"/>
        <w:numPr>
          <w:ilvl w:val="0"/>
          <w:numId w:val="3"/>
        </w:numPr>
      </w:pPr>
      <w:r w:rsidRPr="007800ED">
        <w:t xml:space="preserve">The AEDC </w:t>
      </w:r>
      <w:r w:rsidR="00FE408C" w:rsidRPr="007800ED">
        <w:t xml:space="preserve">is a </w:t>
      </w:r>
      <w:r w:rsidRPr="007800ED">
        <w:t xml:space="preserve">national </w:t>
      </w:r>
      <w:r w:rsidR="002B1E79" w:rsidRPr="007800ED">
        <w:t xml:space="preserve">census that </w:t>
      </w:r>
      <w:r w:rsidRPr="007800ED">
        <w:t>measure</w:t>
      </w:r>
      <w:r w:rsidR="002B1E79" w:rsidRPr="007800ED">
        <w:t>s</w:t>
      </w:r>
      <w:r w:rsidRPr="007800ED">
        <w:t xml:space="preserve"> children’s early development</w:t>
      </w:r>
      <w:r w:rsidR="00A077A4" w:rsidRPr="007800ED">
        <w:t>. The census has</w:t>
      </w:r>
      <w:r w:rsidR="00FE408C" w:rsidRPr="007800ED">
        <w:t xml:space="preserve"> conducted every</w:t>
      </w:r>
      <w:r w:rsidR="002B1E79" w:rsidRPr="007800ED">
        <w:t xml:space="preserve"> three years since 2009.</w:t>
      </w:r>
    </w:p>
    <w:p w14:paraId="122B8EEB" w14:textId="307C37C4" w:rsidR="00FE408C" w:rsidRPr="007800ED" w:rsidRDefault="0080625F" w:rsidP="00207CA5">
      <w:pPr>
        <w:pStyle w:val="ListParagraph"/>
        <w:numPr>
          <w:ilvl w:val="0"/>
          <w:numId w:val="3"/>
        </w:numPr>
      </w:pPr>
      <w:r w:rsidRPr="007800ED">
        <w:t>In total,</w:t>
      </w:r>
      <w:r w:rsidR="00271105" w:rsidRPr="007800ED">
        <w:t>1,755,574 children have been</w:t>
      </w:r>
      <w:r w:rsidR="000259C1" w:rsidRPr="007800ED">
        <w:t xml:space="preserve"> </w:t>
      </w:r>
      <w:r w:rsidR="00271105" w:rsidRPr="007800ED">
        <w:t xml:space="preserve">included over six collections (2009,2012, 2015, 2018, </w:t>
      </w:r>
      <w:r w:rsidR="00FE408C" w:rsidRPr="007800ED">
        <w:t>2021, and</w:t>
      </w:r>
      <w:r w:rsidR="00271105" w:rsidRPr="007800ED">
        <w:t xml:space="preserve"> 2024)</w:t>
      </w:r>
      <w:r w:rsidR="002B1E79" w:rsidRPr="007800ED">
        <w:t>.</w:t>
      </w:r>
    </w:p>
    <w:p w14:paraId="7DEB1FE9" w14:textId="6E998260" w:rsidR="002B1E79" w:rsidRPr="007800ED" w:rsidRDefault="0080625F" w:rsidP="00207CA5">
      <w:pPr>
        <w:pStyle w:val="ListParagraph"/>
        <w:numPr>
          <w:ilvl w:val="0"/>
          <w:numId w:val="3"/>
        </w:numPr>
      </w:pPr>
      <w:r w:rsidRPr="007800ED">
        <w:t xml:space="preserve">Of these, </w:t>
      </w:r>
      <w:r w:rsidR="00271105" w:rsidRPr="007800ED">
        <w:t>288,483 children were included</w:t>
      </w:r>
      <w:r w:rsidR="000259C1" w:rsidRPr="007800ED">
        <w:t xml:space="preserve"> </w:t>
      </w:r>
      <w:r w:rsidR="00271105" w:rsidRPr="007800ED">
        <w:t>in the 2024 collection</w:t>
      </w:r>
      <w:r w:rsidR="002B1E79" w:rsidRPr="007800ED">
        <w:t xml:space="preserve"> which equates to</w:t>
      </w:r>
      <w:r w:rsidR="00271105" w:rsidRPr="007800ED">
        <w:t xml:space="preserve"> 94.6% of children who</w:t>
      </w:r>
      <w:r w:rsidR="000259C1" w:rsidRPr="007800ED">
        <w:t xml:space="preserve"> </w:t>
      </w:r>
      <w:r w:rsidR="00271105" w:rsidRPr="007800ED">
        <w:t>started school in 2024</w:t>
      </w:r>
      <w:r w:rsidR="002B1E79" w:rsidRPr="007800ED">
        <w:t>.</w:t>
      </w:r>
    </w:p>
    <w:p w14:paraId="7DB2A63A" w14:textId="652FDFB0" w:rsidR="002F3DBF" w:rsidRPr="007800ED" w:rsidRDefault="00FE408C" w:rsidP="00207CA5">
      <w:pPr>
        <w:pStyle w:val="ListParagraph"/>
        <w:numPr>
          <w:ilvl w:val="0"/>
          <w:numId w:val="3"/>
        </w:numPr>
      </w:pPr>
      <w:r w:rsidRPr="007800ED">
        <w:t>Some of the k</w:t>
      </w:r>
      <w:r w:rsidR="002B1E79" w:rsidRPr="007800ED">
        <w:t>ey</w:t>
      </w:r>
      <w:r w:rsidR="002633B6" w:rsidRPr="007800ED">
        <w:t xml:space="preserve"> summary</w:t>
      </w:r>
      <w:r w:rsidR="002B1E79" w:rsidRPr="007800ED">
        <w:t xml:space="preserve"> </w:t>
      </w:r>
      <w:r w:rsidR="002633B6" w:rsidRPr="007800ED">
        <w:t>indicators</w:t>
      </w:r>
      <w:r w:rsidR="002B1E79" w:rsidRPr="007800ED">
        <w:t xml:space="preserve"> </w:t>
      </w:r>
      <w:r w:rsidRPr="007800ED">
        <w:t>reported by</w:t>
      </w:r>
      <w:r w:rsidR="002B1E79" w:rsidRPr="007800ED">
        <w:t xml:space="preserve"> the AEDC include</w:t>
      </w:r>
      <w:r w:rsidRPr="007800ED">
        <w:t>:</w:t>
      </w:r>
      <w:r w:rsidR="002B1E79" w:rsidRPr="007800ED">
        <w:t xml:space="preserve"> the percentage of children who are </w:t>
      </w:r>
      <w:r w:rsidRPr="007800ED">
        <w:t>o</w:t>
      </w:r>
      <w:r w:rsidR="002B1E79" w:rsidRPr="007800ED">
        <w:t xml:space="preserve">n track on all </w:t>
      </w:r>
      <w:r w:rsidR="00A077A4" w:rsidRPr="007800ED">
        <w:t>five</w:t>
      </w:r>
      <w:r w:rsidR="002B1E79" w:rsidRPr="007800ED">
        <w:t xml:space="preserve"> </w:t>
      </w:r>
      <w:r w:rsidRPr="007800ED">
        <w:t xml:space="preserve">developmental </w:t>
      </w:r>
      <w:r w:rsidR="002B1E79" w:rsidRPr="007800ED">
        <w:t>domains</w:t>
      </w:r>
      <w:r w:rsidR="002633B6" w:rsidRPr="007800ED">
        <w:t xml:space="preserve"> (OT5)</w:t>
      </w:r>
      <w:r w:rsidR="002B1E79" w:rsidRPr="007800ED">
        <w:t xml:space="preserve">, </w:t>
      </w:r>
      <w:r w:rsidRPr="007800ED">
        <w:t>the percentage of children who are d</w:t>
      </w:r>
      <w:r w:rsidR="002B1E79" w:rsidRPr="007800ED">
        <w:t>evelopmental</w:t>
      </w:r>
      <w:r w:rsidRPr="007800ED">
        <w:t>ly</w:t>
      </w:r>
      <w:r w:rsidR="002B1E79" w:rsidRPr="007800ED">
        <w:t xml:space="preserve"> </w:t>
      </w:r>
      <w:r w:rsidRPr="007800ED">
        <w:t>v</w:t>
      </w:r>
      <w:r w:rsidR="002B1E79" w:rsidRPr="007800ED">
        <w:t>ulnerable on one or more domains</w:t>
      </w:r>
      <w:r w:rsidR="002633B6" w:rsidRPr="007800ED">
        <w:t xml:space="preserve"> (DV1) and the percentage of children who are developmentally vulnerable on two or more domains (DV2)</w:t>
      </w:r>
      <w:r w:rsidRPr="007800ED">
        <w:t xml:space="preserve">. </w:t>
      </w:r>
      <w:r w:rsidR="00A077A4" w:rsidRPr="007800ED">
        <w:t>Results for t</w:t>
      </w:r>
      <w:r w:rsidRPr="007800ED">
        <w:t xml:space="preserve">hese </w:t>
      </w:r>
      <w:r w:rsidR="002633B6" w:rsidRPr="007800ED">
        <w:t xml:space="preserve">key summary indicators </w:t>
      </w:r>
      <w:r w:rsidRPr="007800ED">
        <w:t>are</w:t>
      </w:r>
      <w:r w:rsidR="002B1E79" w:rsidRPr="007800ED">
        <w:t xml:space="preserve"> </w:t>
      </w:r>
      <w:r w:rsidRPr="007800ED">
        <w:t>compared across time</w:t>
      </w:r>
      <w:r w:rsidR="002B1E79" w:rsidRPr="007800ED">
        <w:t xml:space="preserve"> in Table 1</w:t>
      </w:r>
      <w:r w:rsidR="00E94F64" w:rsidRPr="007800ED">
        <w:t>.</w:t>
      </w:r>
    </w:p>
    <w:p w14:paraId="13480620" w14:textId="77777777" w:rsidR="009C124B" w:rsidRPr="007800ED" w:rsidRDefault="009C124B" w:rsidP="009C124B">
      <w:pPr>
        <w:pStyle w:val="ListParagraph"/>
      </w:pPr>
    </w:p>
    <w:p w14:paraId="60B240B8" w14:textId="6950D969" w:rsidR="003E7BF7" w:rsidRPr="007800ED" w:rsidRDefault="003E7BF7" w:rsidP="00207CA5">
      <w:r w:rsidRPr="007800ED">
        <w:t>Table 1</w:t>
      </w:r>
      <w:r w:rsidR="00207CA5" w:rsidRPr="007800ED">
        <w:t>a</w:t>
      </w:r>
      <w:r w:rsidR="00FC2AC1" w:rsidRPr="007800ED">
        <w:t>:</w:t>
      </w:r>
      <w:r w:rsidRPr="007800ED">
        <w:t xml:space="preserve"> </w:t>
      </w:r>
      <w:r w:rsidR="002633B6" w:rsidRPr="007800ED">
        <w:t>AEDC Summary Indicator trends (</w:t>
      </w:r>
      <w:r w:rsidR="00FE408C" w:rsidRPr="007800ED">
        <w:t>2009, 2021 and 2024 collection cycles</w:t>
      </w:r>
      <w:r w:rsidR="002633B6" w:rsidRPr="007800ED">
        <w:t>)</w:t>
      </w:r>
      <w:r w:rsidR="00FE408C" w:rsidRPr="007800ED">
        <w:t>.</w:t>
      </w:r>
    </w:p>
    <w:tbl>
      <w:tblPr>
        <w:tblW w:w="8647" w:type="dxa"/>
        <w:tblInd w:w="-5" w:type="dxa"/>
        <w:tblLook w:val="04A0" w:firstRow="1" w:lastRow="0" w:firstColumn="1" w:lastColumn="0" w:noHBand="0" w:noVBand="1"/>
      </w:tblPr>
      <w:tblGrid>
        <w:gridCol w:w="3011"/>
        <w:gridCol w:w="1809"/>
        <w:gridCol w:w="1984"/>
        <w:gridCol w:w="1843"/>
      </w:tblGrid>
      <w:tr w:rsidR="007800ED" w:rsidRPr="007800ED" w14:paraId="38C1BBDD" w14:textId="77777777" w:rsidTr="00593296">
        <w:trPr>
          <w:trHeight w:val="582"/>
        </w:trPr>
        <w:tc>
          <w:tcPr>
            <w:tcW w:w="3011" w:type="dxa"/>
            <w:tcBorders>
              <w:top w:val="single" w:sz="4" w:space="0" w:color="auto"/>
              <w:left w:val="single" w:sz="4" w:space="0" w:color="auto"/>
              <w:bottom w:val="single" w:sz="4" w:space="0" w:color="auto"/>
              <w:right w:val="single" w:sz="4" w:space="0" w:color="auto"/>
            </w:tcBorders>
            <w:vAlign w:val="center"/>
          </w:tcPr>
          <w:p w14:paraId="34618164" w14:textId="40544AEA" w:rsidR="008C3F31" w:rsidRPr="007800ED" w:rsidRDefault="00913424" w:rsidP="00593296">
            <w:pPr>
              <w:rPr>
                <w:lang w:eastAsia="en-AU"/>
              </w:rPr>
            </w:pPr>
            <w:r w:rsidRPr="007800ED">
              <w:rPr>
                <w:lang w:eastAsia="en-AU"/>
              </w:rPr>
              <w:t>AEDC Summary Indicator</w:t>
            </w:r>
          </w:p>
        </w:tc>
        <w:tc>
          <w:tcPr>
            <w:tcW w:w="1809" w:type="dxa"/>
            <w:tcBorders>
              <w:top w:val="single" w:sz="4" w:space="0" w:color="auto"/>
              <w:left w:val="nil"/>
              <w:bottom w:val="single" w:sz="4" w:space="0" w:color="auto"/>
              <w:right w:val="single" w:sz="4" w:space="0" w:color="auto"/>
            </w:tcBorders>
            <w:vAlign w:val="center"/>
          </w:tcPr>
          <w:p w14:paraId="1BAD98B8" w14:textId="38028F59" w:rsidR="008C3F31" w:rsidRPr="007800ED" w:rsidRDefault="008C3F31" w:rsidP="00593296">
            <w:pPr>
              <w:rPr>
                <w:lang w:eastAsia="en-AU"/>
              </w:rPr>
            </w:pPr>
            <w:r w:rsidRPr="007800ED">
              <w:rPr>
                <w:lang w:eastAsia="en-AU"/>
              </w:rPr>
              <w:t xml:space="preserve">2009 </w:t>
            </w:r>
          </w:p>
        </w:tc>
        <w:tc>
          <w:tcPr>
            <w:tcW w:w="1984" w:type="dxa"/>
            <w:tcBorders>
              <w:top w:val="single" w:sz="4" w:space="0" w:color="auto"/>
              <w:left w:val="nil"/>
              <w:bottom w:val="single" w:sz="4" w:space="0" w:color="auto"/>
              <w:right w:val="single" w:sz="4" w:space="0" w:color="auto"/>
            </w:tcBorders>
            <w:vAlign w:val="center"/>
          </w:tcPr>
          <w:p w14:paraId="6DC897F1" w14:textId="62720181" w:rsidR="008C3F31" w:rsidRPr="007800ED" w:rsidRDefault="008C3F31" w:rsidP="00593296">
            <w:pPr>
              <w:rPr>
                <w:lang w:eastAsia="en-AU"/>
              </w:rPr>
            </w:pPr>
            <w:r w:rsidRPr="007800ED">
              <w:rPr>
                <w:lang w:eastAsia="en-AU"/>
              </w:rPr>
              <w:t>2021</w:t>
            </w:r>
          </w:p>
        </w:tc>
        <w:tc>
          <w:tcPr>
            <w:tcW w:w="1843" w:type="dxa"/>
            <w:tcBorders>
              <w:top w:val="single" w:sz="4" w:space="0" w:color="auto"/>
              <w:left w:val="nil"/>
              <w:bottom w:val="single" w:sz="4" w:space="0" w:color="auto"/>
              <w:right w:val="single" w:sz="4" w:space="0" w:color="auto"/>
            </w:tcBorders>
            <w:vAlign w:val="center"/>
          </w:tcPr>
          <w:p w14:paraId="4379F53B" w14:textId="737EB7F4" w:rsidR="008C3F31" w:rsidRPr="007800ED" w:rsidRDefault="008C3F31" w:rsidP="00593296">
            <w:pPr>
              <w:rPr>
                <w:lang w:eastAsia="en-AU"/>
              </w:rPr>
            </w:pPr>
            <w:r w:rsidRPr="007800ED">
              <w:rPr>
                <w:lang w:eastAsia="en-AU"/>
              </w:rPr>
              <w:t>2024</w:t>
            </w:r>
          </w:p>
        </w:tc>
      </w:tr>
      <w:tr w:rsidR="007800ED" w:rsidRPr="007800ED" w14:paraId="69F685BD" w14:textId="77777777" w:rsidTr="00593296">
        <w:trPr>
          <w:trHeight w:val="785"/>
        </w:trPr>
        <w:tc>
          <w:tcPr>
            <w:tcW w:w="3011" w:type="dxa"/>
            <w:tcBorders>
              <w:top w:val="single" w:sz="4" w:space="0" w:color="auto"/>
              <w:left w:val="single" w:sz="4" w:space="0" w:color="auto"/>
              <w:bottom w:val="single" w:sz="4" w:space="0" w:color="auto"/>
              <w:right w:val="single" w:sz="4" w:space="0" w:color="auto"/>
            </w:tcBorders>
            <w:vAlign w:val="center"/>
            <w:hideMark/>
          </w:tcPr>
          <w:p w14:paraId="7BA9D6E1" w14:textId="3651BEAC" w:rsidR="003E7BF7" w:rsidRPr="007800ED" w:rsidRDefault="008C3F31" w:rsidP="00593296">
            <w:pPr>
              <w:rPr>
                <w:lang w:eastAsia="en-AU"/>
              </w:rPr>
            </w:pPr>
            <w:bookmarkStart w:id="0" w:name="_Hlk206754143"/>
            <w:r w:rsidRPr="007800ED">
              <w:rPr>
                <w:lang w:eastAsia="en-AU"/>
              </w:rPr>
              <w:t>Vulnerable on one or more domains</w:t>
            </w:r>
          </w:p>
        </w:tc>
        <w:tc>
          <w:tcPr>
            <w:tcW w:w="1809" w:type="dxa"/>
            <w:tcBorders>
              <w:top w:val="single" w:sz="4" w:space="0" w:color="auto"/>
              <w:left w:val="nil"/>
              <w:bottom w:val="single" w:sz="4" w:space="0" w:color="auto"/>
              <w:right w:val="single" w:sz="4" w:space="0" w:color="auto"/>
            </w:tcBorders>
            <w:vAlign w:val="center"/>
            <w:hideMark/>
          </w:tcPr>
          <w:p w14:paraId="3DA579D6" w14:textId="0B190758" w:rsidR="003E7BF7" w:rsidRPr="007800ED" w:rsidRDefault="003E7BF7" w:rsidP="00593296">
            <w:pPr>
              <w:rPr>
                <w:lang w:eastAsia="en-AU"/>
              </w:rPr>
            </w:pPr>
            <w:r w:rsidRPr="007800ED">
              <w:rPr>
                <w:lang w:eastAsia="en-AU"/>
              </w:rPr>
              <w:t>23.6%</w:t>
            </w:r>
          </w:p>
        </w:tc>
        <w:tc>
          <w:tcPr>
            <w:tcW w:w="1984" w:type="dxa"/>
            <w:tcBorders>
              <w:top w:val="single" w:sz="4" w:space="0" w:color="auto"/>
              <w:left w:val="nil"/>
              <w:bottom w:val="single" w:sz="4" w:space="0" w:color="auto"/>
              <w:right w:val="single" w:sz="4" w:space="0" w:color="auto"/>
            </w:tcBorders>
            <w:vAlign w:val="center"/>
            <w:hideMark/>
          </w:tcPr>
          <w:p w14:paraId="103FE993" w14:textId="5A3B62AE" w:rsidR="003E7BF7" w:rsidRPr="007800ED" w:rsidRDefault="003E7BF7" w:rsidP="00593296">
            <w:pPr>
              <w:rPr>
                <w:lang w:eastAsia="en-AU"/>
              </w:rPr>
            </w:pPr>
            <w:r w:rsidRPr="007800ED">
              <w:rPr>
                <w:lang w:eastAsia="en-AU"/>
              </w:rPr>
              <w:t>22.0%</w:t>
            </w:r>
          </w:p>
        </w:tc>
        <w:tc>
          <w:tcPr>
            <w:tcW w:w="1843" w:type="dxa"/>
            <w:tcBorders>
              <w:top w:val="single" w:sz="4" w:space="0" w:color="auto"/>
              <w:left w:val="nil"/>
              <w:bottom w:val="single" w:sz="4" w:space="0" w:color="auto"/>
              <w:right w:val="single" w:sz="4" w:space="0" w:color="auto"/>
            </w:tcBorders>
            <w:vAlign w:val="center"/>
            <w:hideMark/>
          </w:tcPr>
          <w:p w14:paraId="7EF07647" w14:textId="33459164" w:rsidR="003E7BF7" w:rsidRPr="007800ED" w:rsidRDefault="003E7BF7" w:rsidP="00593296">
            <w:pPr>
              <w:rPr>
                <w:lang w:eastAsia="en-AU"/>
              </w:rPr>
            </w:pPr>
            <w:r w:rsidRPr="007800ED">
              <w:rPr>
                <w:lang w:eastAsia="en-AU"/>
              </w:rPr>
              <w:t>23.5%</w:t>
            </w:r>
          </w:p>
        </w:tc>
      </w:tr>
      <w:tr w:rsidR="007800ED" w:rsidRPr="007800ED" w14:paraId="42F57AC5" w14:textId="77777777" w:rsidTr="00593296">
        <w:trPr>
          <w:trHeight w:val="758"/>
        </w:trPr>
        <w:tc>
          <w:tcPr>
            <w:tcW w:w="3011" w:type="dxa"/>
            <w:tcBorders>
              <w:top w:val="nil"/>
              <w:left w:val="single" w:sz="4" w:space="0" w:color="auto"/>
              <w:bottom w:val="single" w:sz="4" w:space="0" w:color="auto"/>
              <w:right w:val="single" w:sz="4" w:space="0" w:color="auto"/>
            </w:tcBorders>
            <w:vAlign w:val="center"/>
            <w:hideMark/>
          </w:tcPr>
          <w:p w14:paraId="31759EEB" w14:textId="30678C3C" w:rsidR="003E7BF7" w:rsidRPr="007800ED" w:rsidRDefault="003E7BF7" w:rsidP="00593296">
            <w:pPr>
              <w:rPr>
                <w:lang w:eastAsia="en-AU"/>
              </w:rPr>
            </w:pPr>
            <w:r w:rsidRPr="007800ED">
              <w:rPr>
                <w:lang w:eastAsia="en-AU"/>
              </w:rPr>
              <w:t xml:space="preserve"> </w:t>
            </w:r>
            <w:r w:rsidR="008C3F31" w:rsidRPr="007800ED">
              <w:rPr>
                <w:lang w:eastAsia="en-AU"/>
              </w:rPr>
              <w:t xml:space="preserve">Vulnerable on two or more domains </w:t>
            </w:r>
          </w:p>
        </w:tc>
        <w:tc>
          <w:tcPr>
            <w:tcW w:w="1809" w:type="dxa"/>
            <w:tcBorders>
              <w:top w:val="nil"/>
              <w:left w:val="nil"/>
              <w:bottom w:val="single" w:sz="4" w:space="0" w:color="auto"/>
              <w:right w:val="single" w:sz="4" w:space="0" w:color="auto"/>
            </w:tcBorders>
            <w:vAlign w:val="center"/>
            <w:hideMark/>
          </w:tcPr>
          <w:p w14:paraId="085E6F7F" w14:textId="6B3A7B22" w:rsidR="003E7BF7" w:rsidRPr="007800ED" w:rsidRDefault="008C3F31" w:rsidP="00593296">
            <w:pPr>
              <w:rPr>
                <w:lang w:eastAsia="en-AU"/>
              </w:rPr>
            </w:pPr>
            <w:r w:rsidRPr="007800ED">
              <w:rPr>
                <w:lang w:eastAsia="en-AU"/>
              </w:rPr>
              <w:t>11</w:t>
            </w:r>
            <w:r w:rsidR="003E7BF7" w:rsidRPr="007800ED">
              <w:rPr>
                <w:lang w:eastAsia="en-AU"/>
              </w:rPr>
              <w:t>.8%</w:t>
            </w:r>
          </w:p>
        </w:tc>
        <w:tc>
          <w:tcPr>
            <w:tcW w:w="1984" w:type="dxa"/>
            <w:tcBorders>
              <w:top w:val="nil"/>
              <w:left w:val="nil"/>
              <w:bottom w:val="single" w:sz="4" w:space="0" w:color="auto"/>
              <w:right w:val="single" w:sz="4" w:space="0" w:color="auto"/>
            </w:tcBorders>
            <w:vAlign w:val="center"/>
            <w:hideMark/>
          </w:tcPr>
          <w:p w14:paraId="29E8119C" w14:textId="7CF810E0" w:rsidR="003E7BF7" w:rsidRPr="007800ED" w:rsidRDefault="003E7BF7" w:rsidP="00593296">
            <w:pPr>
              <w:rPr>
                <w:lang w:eastAsia="en-AU"/>
              </w:rPr>
            </w:pPr>
            <w:r w:rsidRPr="007800ED">
              <w:rPr>
                <w:lang w:eastAsia="en-AU"/>
              </w:rPr>
              <w:t>11.4%</w:t>
            </w:r>
          </w:p>
        </w:tc>
        <w:tc>
          <w:tcPr>
            <w:tcW w:w="1843" w:type="dxa"/>
            <w:tcBorders>
              <w:top w:val="nil"/>
              <w:left w:val="nil"/>
              <w:bottom w:val="single" w:sz="4" w:space="0" w:color="auto"/>
              <w:right w:val="single" w:sz="4" w:space="0" w:color="auto"/>
            </w:tcBorders>
            <w:vAlign w:val="center"/>
            <w:hideMark/>
          </w:tcPr>
          <w:p w14:paraId="46F86989" w14:textId="6A8898B9" w:rsidR="003E7BF7" w:rsidRPr="007800ED" w:rsidRDefault="003E7BF7" w:rsidP="00593296">
            <w:pPr>
              <w:rPr>
                <w:lang w:eastAsia="en-AU"/>
              </w:rPr>
            </w:pPr>
            <w:r w:rsidRPr="007800ED">
              <w:rPr>
                <w:lang w:eastAsia="en-AU"/>
              </w:rPr>
              <w:t>12.5%</w:t>
            </w:r>
          </w:p>
        </w:tc>
      </w:tr>
      <w:tr w:rsidR="007800ED" w:rsidRPr="007800ED" w14:paraId="146ED836" w14:textId="77777777" w:rsidTr="00593296">
        <w:trPr>
          <w:trHeight w:val="556"/>
        </w:trPr>
        <w:tc>
          <w:tcPr>
            <w:tcW w:w="3011" w:type="dxa"/>
            <w:tcBorders>
              <w:top w:val="nil"/>
              <w:left w:val="single" w:sz="4" w:space="0" w:color="auto"/>
              <w:bottom w:val="single" w:sz="4" w:space="0" w:color="auto"/>
              <w:right w:val="single" w:sz="4" w:space="0" w:color="auto"/>
            </w:tcBorders>
            <w:vAlign w:val="center"/>
            <w:hideMark/>
          </w:tcPr>
          <w:p w14:paraId="5E73B4C7" w14:textId="7071B922" w:rsidR="003E7BF7" w:rsidRPr="007800ED" w:rsidRDefault="008C3F31" w:rsidP="00593296">
            <w:pPr>
              <w:rPr>
                <w:lang w:eastAsia="en-AU"/>
              </w:rPr>
            </w:pPr>
            <w:r w:rsidRPr="007800ED">
              <w:rPr>
                <w:lang w:eastAsia="en-AU"/>
              </w:rPr>
              <w:t xml:space="preserve">On track on </w:t>
            </w:r>
            <w:r w:rsidR="00FD6D28" w:rsidRPr="007800ED">
              <w:rPr>
                <w:lang w:eastAsia="en-AU"/>
              </w:rPr>
              <w:t>five domains</w:t>
            </w:r>
          </w:p>
        </w:tc>
        <w:tc>
          <w:tcPr>
            <w:tcW w:w="1809" w:type="dxa"/>
            <w:tcBorders>
              <w:top w:val="nil"/>
              <w:left w:val="nil"/>
              <w:bottom w:val="single" w:sz="4" w:space="0" w:color="auto"/>
              <w:right w:val="single" w:sz="4" w:space="0" w:color="auto"/>
            </w:tcBorders>
            <w:vAlign w:val="center"/>
            <w:hideMark/>
          </w:tcPr>
          <w:p w14:paraId="17EB0EA3" w14:textId="09271E8B" w:rsidR="003E7BF7" w:rsidRPr="007800ED" w:rsidRDefault="003E7BF7" w:rsidP="00593296">
            <w:pPr>
              <w:rPr>
                <w:lang w:eastAsia="en-AU"/>
              </w:rPr>
            </w:pPr>
            <w:r w:rsidRPr="007800ED">
              <w:rPr>
                <w:lang w:eastAsia="en-AU"/>
              </w:rPr>
              <w:t xml:space="preserve">50.7%  </w:t>
            </w:r>
          </w:p>
        </w:tc>
        <w:tc>
          <w:tcPr>
            <w:tcW w:w="1984" w:type="dxa"/>
            <w:tcBorders>
              <w:top w:val="nil"/>
              <w:left w:val="nil"/>
              <w:bottom w:val="single" w:sz="4" w:space="0" w:color="auto"/>
              <w:right w:val="single" w:sz="4" w:space="0" w:color="auto"/>
            </w:tcBorders>
            <w:vAlign w:val="center"/>
            <w:hideMark/>
          </w:tcPr>
          <w:p w14:paraId="2F9D3C9C" w14:textId="3CCB8307" w:rsidR="003E7BF7" w:rsidRPr="007800ED" w:rsidRDefault="003E7BF7" w:rsidP="00593296">
            <w:pPr>
              <w:rPr>
                <w:lang w:eastAsia="en-AU"/>
              </w:rPr>
            </w:pPr>
            <w:r w:rsidRPr="007800ED">
              <w:rPr>
                <w:lang w:eastAsia="en-AU"/>
              </w:rPr>
              <w:t>54.8%</w:t>
            </w:r>
          </w:p>
        </w:tc>
        <w:tc>
          <w:tcPr>
            <w:tcW w:w="1843" w:type="dxa"/>
            <w:tcBorders>
              <w:top w:val="nil"/>
              <w:left w:val="nil"/>
              <w:bottom w:val="single" w:sz="4" w:space="0" w:color="auto"/>
              <w:right w:val="single" w:sz="4" w:space="0" w:color="auto"/>
            </w:tcBorders>
            <w:vAlign w:val="center"/>
            <w:hideMark/>
          </w:tcPr>
          <w:p w14:paraId="3E2B0BC2" w14:textId="666E76C9" w:rsidR="003E7BF7" w:rsidRPr="007800ED" w:rsidRDefault="003E7BF7" w:rsidP="00593296">
            <w:pPr>
              <w:rPr>
                <w:lang w:eastAsia="en-AU"/>
              </w:rPr>
            </w:pPr>
            <w:r w:rsidRPr="007800ED">
              <w:rPr>
                <w:lang w:eastAsia="en-AU"/>
              </w:rPr>
              <w:t>52.9%</w:t>
            </w:r>
          </w:p>
        </w:tc>
      </w:tr>
      <w:bookmarkEnd w:id="0"/>
    </w:tbl>
    <w:p w14:paraId="14D89061" w14:textId="77777777" w:rsidR="003E7BF7" w:rsidRDefault="003E7BF7" w:rsidP="00207CA5"/>
    <w:tbl>
      <w:tblPr>
        <w:tblStyle w:val="TableGrid"/>
        <w:tblW w:w="0" w:type="auto"/>
        <w:tblLook w:val="04A0" w:firstRow="1" w:lastRow="0" w:firstColumn="1" w:lastColumn="0" w:noHBand="0" w:noVBand="1"/>
      </w:tblPr>
      <w:tblGrid>
        <w:gridCol w:w="9350"/>
      </w:tblGrid>
      <w:tr w:rsidR="002E3CDC" w14:paraId="0E0A6F76" w14:textId="77777777" w:rsidTr="002E3CDC">
        <w:tc>
          <w:tcPr>
            <w:tcW w:w="9350" w:type="dxa"/>
          </w:tcPr>
          <w:p w14:paraId="1F7985EB" w14:textId="77777777" w:rsidR="002E3CDC" w:rsidRPr="002E3CDC" w:rsidRDefault="002E3CDC" w:rsidP="002E3CDC">
            <w:pPr>
              <w:rPr>
                <w:rFonts w:cs="Calibri"/>
                <w:b/>
                <w:bCs/>
                <w:sz w:val="20"/>
                <w:szCs w:val="20"/>
              </w:rPr>
            </w:pPr>
            <w:r w:rsidRPr="002E3CDC">
              <w:rPr>
                <w:rFonts w:cs="Calibri"/>
                <w:b/>
                <w:bCs/>
                <w:sz w:val="20"/>
                <w:szCs w:val="20"/>
              </w:rPr>
              <w:t>Accessible file format statement</w:t>
            </w:r>
          </w:p>
          <w:p w14:paraId="34F74B24" w14:textId="4B5FACB9" w:rsidR="002E3CDC" w:rsidRDefault="002E3CDC" w:rsidP="002E3CDC">
            <w:pPr>
              <w:rPr>
                <w:rFonts w:cs="Calibri"/>
                <w:b/>
                <w:bCs/>
              </w:rPr>
            </w:pPr>
            <w:r w:rsidRPr="002E3CDC">
              <w:rPr>
                <w:rFonts w:cs="Calibri"/>
                <w:sz w:val="20"/>
                <w:szCs w:val="20"/>
              </w:rPr>
              <w:t xml:space="preserve">This is an accessible text version of the document </w:t>
            </w:r>
            <w:r w:rsidRPr="002E3CDC">
              <w:rPr>
                <w:rFonts w:cs="Calibri"/>
                <w:b/>
                <w:bCs/>
                <w:sz w:val="20"/>
                <w:szCs w:val="20"/>
              </w:rPr>
              <w:t>Policy Placemat</w:t>
            </w:r>
            <w:r w:rsidRPr="002E3CDC">
              <w:rPr>
                <w:rFonts w:cs="Calibri"/>
                <w:sz w:val="20"/>
                <w:szCs w:val="20"/>
              </w:rPr>
              <w:t>. This document is saved in DOCX file format. A copy of this document is also available in PDF file format. Readers are advised that the PDF version of this document may contain some features that some users find less accessible than the DOCX version.</w:t>
            </w:r>
          </w:p>
        </w:tc>
      </w:tr>
    </w:tbl>
    <w:p w14:paraId="25FFCBCB" w14:textId="77777777" w:rsidR="002E3CDC" w:rsidRDefault="002E3CDC" w:rsidP="00207CA5"/>
    <w:p w14:paraId="64688C3C" w14:textId="77777777" w:rsidR="001F08AA" w:rsidRPr="007800ED" w:rsidRDefault="001F08AA" w:rsidP="00BA72A3">
      <w:pPr>
        <w:pStyle w:val="ListParagraph"/>
        <w:numPr>
          <w:ilvl w:val="0"/>
          <w:numId w:val="4"/>
        </w:numPr>
        <w:spacing w:before="240"/>
      </w:pPr>
      <w:r w:rsidRPr="007800ED">
        <w:lastRenderedPageBreak/>
        <w:t>There has been a significant decrease in OT5 since 2021, but a significant increase since 2009</w:t>
      </w:r>
    </w:p>
    <w:p w14:paraId="765606F2" w14:textId="411BD935" w:rsidR="001F08AA" w:rsidRPr="007800ED" w:rsidRDefault="001F08AA" w:rsidP="00207CA5">
      <w:pPr>
        <w:pStyle w:val="ListParagraph"/>
        <w:numPr>
          <w:ilvl w:val="0"/>
          <w:numId w:val="4"/>
        </w:numPr>
      </w:pPr>
      <w:r w:rsidRPr="007800ED">
        <w:rPr>
          <w:lang w:eastAsia="en-AU"/>
        </w:rPr>
        <w:t xml:space="preserve">The greatest increases in developmental vulnerability were for (1) Social competence, a 1.1 percentage point increase, and (2) Emotional maturity a 1.5 percentage point increase </w:t>
      </w:r>
    </w:p>
    <w:p w14:paraId="68B5E12F" w14:textId="54050B33" w:rsidR="009C124B" w:rsidRPr="00A151EA" w:rsidRDefault="009C124B" w:rsidP="00207CA5">
      <w:pPr>
        <w:pStyle w:val="ListParagraph"/>
        <w:numPr>
          <w:ilvl w:val="0"/>
          <w:numId w:val="4"/>
        </w:numPr>
        <w:rPr>
          <w:u w:val="single"/>
        </w:rPr>
      </w:pPr>
      <w:hyperlink r:id="rId5" w:history="1">
        <w:r w:rsidRPr="00A151EA">
          <w:rPr>
            <w:rStyle w:val="Hyperlink"/>
            <w:color w:val="auto"/>
          </w:rPr>
          <w:t>The 2024 AEDC National Report can be accessed here</w:t>
        </w:r>
      </w:hyperlink>
    </w:p>
    <w:p w14:paraId="7D8FE9EE" w14:textId="1BE7C0B3" w:rsidR="00271105" w:rsidRPr="007800ED" w:rsidRDefault="004A4787" w:rsidP="00207CA5">
      <w:pPr>
        <w:pStyle w:val="Heading1"/>
      </w:pPr>
      <w:r w:rsidRPr="007800ED">
        <w:t xml:space="preserve">Section 2: </w:t>
      </w:r>
      <w:r w:rsidR="00710A2B" w:rsidRPr="007800ED">
        <w:t>The AEDC In Research</w:t>
      </w:r>
      <w:r w:rsidR="001F08AA" w:rsidRPr="007800ED">
        <w:t xml:space="preserve"> - </w:t>
      </w:r>
      <w:r w:rsidR="00710A2B" w:rsidRPr="007800ED">
        <w:t>What We Have Learn</w:t>
      </w:r>
      <w:r w:rsidRPr="007800ED">
        <w:t>t</w:t>
      </w:r>
    </w:p>
    <w:p w14:paraId="4CDE8EFC" w14:textId="11202920" w:rsidR="00207CA5" w:rsidRPr="007800ED" w:rsidRDefault="001F08AA" w:rsidP="00207CA5">
      <w:pPr>
        <w:pStyle w:val="Heading2"/>
      </w:pPr>
      <w:r w:rsidRPr="007800ED">
        <w:t xml:space="preserve">Finding 1 </w:t>
      </w:r>
    </w:p>
    <w:p w14:paraId="55E1866F" w14:textId="1301F346" w:rsidR="00271105" w:rsidRPr="007800ED" w:rsidRDefault="00572608" w:rsidP="00207CA5">
      <w:r w:rsidRPr="007800ED">
        <w:t>Maternal health and</w:t>
      </w:r>
      <w:r w:rsidR="0069178D" w:rsidRPr="007800ED">
        <w:t xml:space="preserve"> </w:t>
      </w:r>
      <w:r w:rsidRPr="007800ED">
        <w:t>exposures in pregnancy</w:t>
      </w:r>
      <w:r w:rsidR="0069178D" w:rsidRPr="007800ED">
        <w:t xml:space="preserve"> </w:t>
      </w:r>
      <w:r w:rsidRPr="007800ED">
        <w:t>(</w:t>
      </w:r>
      <w:r w:rsidR="00537C58" w:rsidRPr="007800ED">
        <w:t xml:space="preserve">for example: </w:t>
      </w:r>
      <w:r w:rsidRPr="007800ED">
        <w:t>smoking, environmental heat</w:t>
      </w:r>
      <w:r w:rsidR="0069178D" w:rsidRPr="007800ED">
        <w:t xml:space="preserve"> </w:t>
      </w:r>
      <w:r w:rsidRPr="007800ED">
        <w:t>stress, gestational diabetes,</w:t>
      </w:r>
      <w:r w:rsidR="0069178D" w:rsidRPr="007800ED">
        <w:t xml:space="preserve"> </w:t>
      </w:r>
      <w:r w:rsidRPr="007800ED">
        <w:t>preeclampsia) and perinatal</w:t>
      </w:r>
      <w:r w:rsidR="0069178D" w:rsidRPr="007800ED">
        <w:t xml:space="preserve"> </w:t>
      </w:r>
      <w:r w:rsidRPr="007800ED">
        <w:t>factors are associated with child</w:t>
      </w:r>
      <w:r w:rsidR="0069178D" w:rsidRPr="007800ED">
        <w:t xml:space="preserve"> </w:t>
      </w:r>
      <w:r w:rsidRPr="007800ED">
        <w:t>development at school entry</w:t>
      </w:r>
      <w:r w:rsidR="0080625F" w:rsidRPr="007800ED">
        <w:t>.</w:t>
      </w:r>
      <w:r w:rsidR="00E8260A" w:rsidRPr="007800ED">
        <w:t xml:space="preserve"> Links to relevant research on these topics can be found in </w:t>
      </w:r>
      <w:r w:rsidR="001F08AA" w:rsidRPr="007800ED">
        <w:t>T</w:t>
      </w:r>
      <w:r w:rsidR="00E8260A" w:rsidRPr="007800ED">
        <w:t xml:space="preserve">able </w:t>
      </w:r>
      <w:r w:rsidR="00207CA5" w:rsidRPr="007800ED">
        <w:t>1</w:t>
      </w:r>
      <w:r w:rsidR="00F4682B" w:rsidRPr="007800ED">
        <w:t>.</w:t>
      </w:r>
    </w:p>
    <w:p w14:paraId="2A8D6FDB" w14:textId="771C1E53" w:rsidR="0080625F" w:rsidRPr="007800ED" w:rsidRDefault="0080625F" w:rsidP="00207CA5">
      <w:pPr>
        <w:tabs>
          <w:tab w:val="left" w:pos="2970"/>
        </w:tabs>
      </w:pPr>
      <w:r w:rsidRPr="007800ED">
        <w:t xml:space="preserve">Table </w:t>
      </w:r>
      <w:r w:rsidR="00207CA5" w:rsidRPr="007800ED">
        <w:t>1</w:t>
      </w:r>
      <w:r w:rsidR="00FC2AC1" w:rsidRPr="007800ED">
        <w:t>:</w:t>
      </w:r>
      <w:r w:rsidRPr="007800ED">
        <w:t xml:space="preserve"> </w:t>
      </w:r>
      <w:r w:rsidR="000E770B" w:rsidRPr="007800ED">
        <w:t xml:space="preserve">Research articles relevant </w:t>
      </w:r>
      <w:r w:rsidR="00F4682B" w:rsidRPr="007800ED">
        <w:t xml:space="preserve">to </w:t>
      </w:r>
      <w:r w:rsidR="00207CA5" w:rsidRPr="007800ED">
        <w:t>m</w:t>
      </w:r>
      <w:r w:rsidR="00F4682B" w:rsidRPr="007800ED">
        <w:t>aternal health and exposure in pregnancy.</w:t>
      </w:r>
    </w:p>
    <w:tbl>
      <w:tblPr>
        <w:tblW w:w="8320" w:type="dxa"/>
        <w:tblLook w:val="04A0" w:firstRow="1" w:lastRow="0" w:firstColumn="1" w:lastColumn="0" w:noHBand="0" w:noVBand="1"/>
      </w:tblPr>
      <w:tblGrid>
        <w:gridCol w:w="8320"/>
      </w:tblGrid>
      <w:tr w:rsidR="007800ED" w:rsidRPr="007800ED" w14:paraId="20A082DA" w14:textId="77777777" w:rsidTr="00593296">
        <w:trPr>
          <w:trHeight w:val="557"/>
        </w:trPr>
        <w:tc>
          <w:tcPr>
            <w:tcW w:w="8320" w:type="dxa"/>
            <w:tcBorders>
              <w:top w:val="single" w:sz="4" w:space="0" w:color="auto"/>
              <w:left w:val="single" w:sz="4" w:space="0" w:color="auto"/>
              <w:bottom w:val="single" w:sz="4" w:space="0" w:color="auto"/>
              <w:right w:val="single" w:sz="4" w:space="0" w:color="auto"/>
            </w:tcBorders>
            <w:vAlign w:val="center"/>
            <w:hideMark/>
          </w:tcPr>
          <w:p w14:paraId="4E294748" w14:textId="6D4FCBD1" w:rsidR="00F4682B" w:rsidRPr="007800ED" w:rsidRDefault="00F4682B" w:rsidP="00593296">
            <w:pPr>
              <w:rPr>
                <w:rFonts w:eastAsia="Times New Roman" w:cs="Times New Roman"/>
                <w:kern w:val="0"/>
                <w:lang w:eastAsia="en-AU"/>
                <w14:ligatures w14:val="none"/>
              </w:rPr>
            </w:pPr>
            <w:hyperlink r:id="rId6" w:history="1">
              <w:r w:rsidRPr="007800ED">
                <w:rPr>
                  <w:rStyle w:val="Hyperlink"/>
                  <w:rFonts w:eastAsia="Times New Roman" w:cs="Times New Roman"/>
                  <w:color w:val="auto"/>
                  <w:kern w:val="0"/>
                  <w:lang w:eastAsia="en-AU"/>
                  <w14:ligatures w14:val="none"/>
                </w:rPr>
                <w:t xml:space="preserve">Read the AEDC </w:t>
              </w:r>
              <w:r w:rsidR="00EE118B" w:rsidRPr="007800ED">
                <w:rPr>
                  <w:rStyle w:val="Hyperlink"/>
                  <w:rFonts w:eastAsia="Times New Roman" w:cs="Times New Roman"/>
                  <w:color w:val="auto"/>
                  <w:kern w:val="0"/>
                  <w:lang w:eastAsia="en-AU"/>
                  <w14:ligatures w14:val="none"/>
                </w:rPr>
                <w:t>R</w:t>
              </w:r>
              <w:r w:rsidRPr="007800ED">
                <w:rPr>
                  <w:rStyle w:val="Hyperlink"/>
                  <w:rFonts w:eastAsia="Times New Roman" w:cs="Times New Roman"/>
                  <w:color w:val="auto"/>
                  <w:kern w:val="0"/>
                  <w:lang w:eastAsia="en-AU"/>
                  <w14:ligatures w14:val="none"/>
                </w:rPr>
                <w:t xml:space="preserve">esearch </w:t>
              </w:r>
              <w:r w:rsidR="00EE118B" w:rsidRPr="007800ED">
                <w:rPr>
                  <w:rStyle w:val="Hyperlink"/>
                  <w:rFonts w:eastAsia="Times New Roman" w:cs="Times New Roman"/>
                  <w:color w:val="auto"/>
                  <w:kern w:val="0"/>
                  <w:lang w:eastAsia="en-AU"/>
                  <w14:ligatures w14:val="none"/>
                </w:rPr>
                <w:t>S</w:t>
              </w:r>
              <w:r w:rsidRPr="007800ED">
                <w:rPr>
                  <w:rStyle w:val="Hyperlink"/>
                  <w:rFonts w:eastAsia="Times New Roman" w:cs="Times New Roman"/>
                  <w:color w:val="auto"/>
                  <w:kern w:val="0"/>
                  <w:lang w:eastAsia="en-AU"/>
                  <w14:ligatures w14:val="none"/>
                </w:rPr>
                <w:t>napshot on Perinatal predictors of child development here</w:t>
              </w:r>
            </w:hyperlink>
          </w:p>
        </w:tc>
      </w:tr>
      <w:tr w:rsidR="007800ED" w:rsidRPr="007800ED" w14:paraId="5F7DA0DF" w14:textId="77777777" w:rsidTr="00593296">
        <w:trPr>
          <w:trHeight w:val="600"/>
        </w:trPr>
        <w:tc>
          <w:tcPr>
            <w:tcW w:w="8320" w:type="dxa"/>
            <w:tcBorders>
              <w:top w:val="nil"/>
              <w:left w:val="single" w:sz="4" w:space="0" w:color="auto"/>
              <w:bottom w:val="single" w:sz="4" w:space="0" w:color="auto"/>
              <w:right w:val="single" w:sz="4" w:space="0" w:color="auto"/>
            </w:tcBorders>
            <w:vAlign w:val="center"/>
          </w:tcPr>
          <w:p w14:paraId="5C165311" w14:textId="2D588865" w:rsidR="007800ED" w:rsidRPr="007800ED" w:rsidRDefault="007800ED" w:rsidP="00593296">
            <w:hyperlink r:id="rId7" w:history="1">
              <w:r w:rsidRPr="007800ED">
                <w:rPr>
                  <w:rStyle w:val="Hyperlink"/>
                  <w:color w:val="auto"/>
                </w:rPr>
                <w:t>Read the research article Prenatal and early childhood exposure to biothermal stress and developmental vulnerability at school entry in Western Australia: a population-based cohort study here</w:t>
              </w:r>
            </w:hyperlink>
          </w:p>
        </w:tc>
      </w:tr>
      <w:tr w:rsidR="007800ED" w:rsidRPr="007800ED" w14:paraId="57E2931D" w14:textId="77777777" w:rsidTr="00593296">
        <w:trPr>
          <w:trHeight w:val="600"/>
        </w:trPr>
        <w:tc>
          <w:tcPr>
            <w:tcW w:w="8320" w:type="dxa"/>
            <w:tcBorders>
              <w:top w:val="nil"/>
              <w:left w:val="single" w:sz="4" w:space="0" w:color="auto"/>
              <w:bottom w:val="single" w:sz="4" w:space="0" w:color="auto"/>
              <w:right w:val="single" w:sz="4" w:space="0" w:color="auto"/>
            </w:tcBorders>
            <w:vAlign w:val="center"/>
            <w:hideMark/>
          </w:tcPr>
          <w:p w14:paraId="48C8BC09" w14:textId="5319EF24" w:rsidR="00F4682B" w:rsidRPr="007800ED" w:rsidRDefault="00F4682B" w:rsidP="00593296">
            <w:pPr>
              <w:rPr>
                <w:lang w:eastAsia="en-AU"/>
              </w:rPr>
            </w:pPr>
            <w:hyperlink r:id="rId8" w:history="1">
              <w:r w:rsidRPr="007800ED">
                <w:rPr>
                  <w:rStyle w:val="Hyperlink"/>
                  <w:rFonts w:eastAsia="Times New Roman" w:cs="Times New Roman"/>
                  <w:color w:val="auto"/>
                  <w:kern w:val="0"/>
                  <w:lang w:eastAsia="en-AU"/>
                  <w14:ligatures w14:val="none"/>
                </w:rPr>
                <w:t>Read the research article the association between preterm birth, gestational diabetes mellitus and childhood developmental vulnerability here</w:t>
              </w:r>
            </w:hyperlink>
            <w:r w:rsidR="007800ED" w:rsidRPr="007800ED">
              <w:t xml:space="preserve"> </w:t>
            </w:r>
          </w:p>
        </w:tc>
      </w:tr>
      <w:tr w:rsidR="007800ED" w:rsidRPr="007800ED" w14:paraId="73D676AA" w14:textId="77777777" w:rsidTr="00593296">
        <w:trPr>
          <w:trHeight w:val="600"/>
        </w:trPr>
        <w:tc>
          <w:tcPr>
            <w:tcW w:w="8320" w:type="dxa"/>
            <w:tcBorders>
              <w:top w:val="nil"/>
              <w:left w:val="single" w:sz="4" w:space="0" w:color="auto"/>
              <w:bottom w:val="single" w:sz="4" w:space="0" w:color="auto"/>
              <w:right w:val="single" w:sz="4" w:space="0" w:color="auto"/>
            </w:tcBorders>
            <w:vAlign w:val="center"/>
            <w:hideMark/>
          </w:tcPr>
          <w:p w14:paraId="2A32A451" w14:textId="64DB7031" w:rsidR="00F4682B" w:rsidRPr="007800ED" w:rsidRDefault="00F4682B" w:rsidP="00593296">
            <w:pPr>
              <w:rPr>
                <w:lang w:eastAsia="en-AU"/>
              </w:rPr>
            </w:pPr>
            <w:hyperlink r:id="rId9" w:history="1">
              <w:r w:rsidRPr="007800ED">
                <w:rPr>
                  <w:rStyle w:val="Hyperlink"/>
                  <w:rFonts w:eastAsia="Times New Roman" w:cs="Times New Roman"/>
                  <w:color w:val="auto"/>
                  <w:kern w:val="0"/>
                  <w:lang w:eastAsia="en-AU"/>
                  <w14:ligatures w14:val="none"/>
                </w:rPr>
                <w:t>Read the research article The effects of pre-eclampsia on social and emotional developmental vulnerability here</w:t>
              </w:r>
            </w:hyperlink>
          </w:p>
        </w:tc>
      </w:tr>
    </w:tbl>
    <w:p w14:paraId="3C8759EE" w14:textId="77777777" w:rsidR="00207CA5" w:rsidRPr="007800ED" w:rsidRDefault="001F08AA" w:rsidP="00207CA5">
      <w:pPr>
        <w:pStyle w:val="Heading2"/>
      </w:pPr>
      <w:r w:rsidRPr="007800ED">
        <w:t>Finding 2</w:t>
      </w:r>
    </w:p>
    <w:p w14:paraId="716554AA" w14:textId="1FFA7456" w:rsidR="000E770B" w:rsidRPr="007800ED" w:rsidRDefault="00572608" w:rsidP="00207CA5">
      <w:r w:rsidRPr="007800ED">
        <w:t>Access to high-quality early</w:t>
      </w:r>
      <w:r w:rsidR="0069178D" w:rsidRPr="007800ED">
        <w:t xml:space="preserve"> </w:t>
      </w:r>
      <w:r w:rsidRPr="007800ED">
        <w:t>childhood education and</w:t>
      </w:r>
      <w:r w:rsidR="0069178D" w:rsidRPr="007800ED">
        <w:t xml:space="preserve"> </w:t>
      </w:r>
      <w:r w:rsidRPr="007800ED">
        <w:t>care, including playgroups</w:t>
      </w:r>
      <w:r w:rsidR="0069178D" w:rsidRPr="007800ED">
        <w:t xml:space="preserve"> </w:t>
      </w:r>
      <w:r w:rsidRPr="007800ED">
        <w:t>and preschool is positively</w:t>
      </w:r>
      <w:r w:rsidR="0069178D" w:rsidRPr="007800ED">
        <w:t xml:space="preserve"> </w:t>
      </w:r>
      <w:r w:rsidRPr="007800ED">
        <w:t>related to children’s</w:t>
      </w:r>
      <w:r w:rsidR="0069178D" w:rsidRPr="007800ED">
        <w:t xml:space="preserve"> </w:t>
      </w:r>
      <w:r w:rsidRPr="007800ED">
        <w:t>development at school</w:t>
      </w:r>
      <w:r w:rsidR="0069178D" w:rsidRPr="007800ED">
        <w:t xml:space="preserve"> </w:t>
      </w:r>
      <w:r w:rsidRPr="007800ED">
        <w:t>entry</w:t>
      </w:r>
      <w:r w:rsidR="00F4682B" w:rsidRPr="007800ED">
        <w:t xml:space="preserve">. Links to relevant research on these topics can be found in </w:t>
      </w:r>
      <w:r w:rsidR="001F08AA" w:rsidRPr="007800ED">
        <w:t>T</w:t>
      </w:r>
      <w:r w:rsidR="00F4682B" w:rsidRPr="007800ED">
        <w:t xml:space="preserve">able </w:t>
      </w:r>
      <w:r w:rsidR="00207CA5" w:rsidRPr="007800ED">
        <w:t>2</w:t>
      </w:r>
      <w:r w:rsidR="00F4682B" w:rsidRPr="007800ED">
        <w:t>.</w:t>
      </w:r>
    </w:p>
    <w:p w14:paraId="4248BE13" w14:textId="0CC458D5" w:rsidR="000A6B61" w:rsidRPr="007800ED" w:rsidRDefault="000E770B" w:rsidP="00207CA5">
      <w:r w:rsidRPr="007800ED">
        <w:t xml:space="preserve">Table </w:t>
      </w:r>
      <w:r w:rsidR="00207CA5" w:rsidRPr="007800ED">
        <w:t>2</w:t>
      </w:r>
      <w:r w:rsidR="00FC2AC1" w:rsidRPr="007800ED">
        <w:t xml:space="preserve">: </w:t>
      </w:r>
      <w:r w:rsidR="00F4682B" w:rsidRPr="007800ED">
        <w:t xml:space="preserve">Research articles relevant to </w:t>
      </w:r>
      <w:r w:rsidR="00207CA5" w:rsidRPr="007800ED">
        <w:t>e</w:t>
      </w:r>
      <w:r w:rsidR="00F4682B" w:rsidRPr="007800ED">
        <w:t>arly childhood education and care.</w:t>
      </w:r>
    </w:p>
    <w:tbl>
      <w:tblPr>
        <w:tblW w:w="8320" w:type="dxa"/>
        <w:tblLook w:val="04A0" w:firstRow="1" w:lastRow="0" w:firstColumn="1" w:lastColumn="0" w:noHBand="0" w:noVBand="1"/>
      </w:tblPr>
      <w:tblGrid>
        <w:gridCol w:w="8320"/>
      </w:tblGrid>
      <w:tr w:rsidR="007800ED" w:rsidRPr="007800ED" w14:paraId="398E5420" w14:textId="77777777" w:rsidTr="00593296">
        <w:trPr>
          <w:trHeight w:val="600"/>
        </w:trPr>
        <w:tc>
          <w:tcPr>
            <w:tcW w:w="8320" w:type="dxa"/>
            <w:tcBorders>
              <w:top w:val="single" w:sz="4" w:space="0" w:color="auto"/>
              <w:left w:val="single" w:sz="4" w:space="0" w:color="auto"/>
              <w:bottom w:val="single" w:sz="4" w:space="0" w:color="auto"/>
              <w:right w:val="single" w:sz="4" w:space="0" w:color="auto"/>
            </w:tcBorders>
            <w:vAlign w:val="center"/>
            <w:hideMark/>
          </w:tcPr>
          <w:p w14:paraId="2E742A7A" w14:textId="14C85179" w:rsidR="000A6B61" w:rsidRPr="007800ED" w:rsidRDefault="000A6B61" w:rsidP="00593296">
            <w:pPr>
              <w:rPr>
                <w:rFonts w:eastAsia="Times New Roman" w:cs="Times New Roman"/>
                <w:kern w:val="0"/>
                <w:lang w:eastAsia="en-AU"/>
                <w14:ligatures w14:val="none"/>
              </w:rPr>
            </w:pPr>
            <w:hyperlink r:id="rId10" w:history="1">
              <w:r w:rsidRPr="007800ED">
                <w:rPr>
                  <w:rStyle w:val="Hyperlink"/>
                  <w:rFonts w:eastAsia="Times New Roman" w:cs="Times New Roman"/>
                  <w:color w:val="auto"/>
                  <w:kern w:val="0"/>
                  <w:lang w:eastAsia="en-AU"/>
                  <w14:ligatures w14:val="none"/>
                </w:rPr>
                <w:t xml:space="preserve">Read The </w:t>
              </w:r>
              <w:r w:rsidR="002723F2" w:rsidRPr="007800ED">
                <w:rPr>
                  <w:rStyle w:val="Hyperlink"/>
                  <w:rFonts w:eastAsia="Times New Roman" w:cs="Times New Roman"/>
                  <w:color w:val="auto"/>
                  <w:kern w:val="0"/>
                  <w:lang w:eastAsia="en-AU"/>
                  <w14:ligatures w14:val="none"/>
                </w:rPr>
                <w:t xml:space="preserve">AEDC </w:t>
              </w:r>
              <w:r w:rsidR="00EE118B" w:rsidRPr="007800ED">
                <w:rPr>
                  <w:rStyle w:val="Hyperlink"/>
                  <w:rFonts w:eastAsia="Times New Roman" w:cs="Times New Roman"/>
                  <w:color w:val="auto"/>
                  <w:kern w:val="0"/>
                  <w:lang w:eastAsia="en-AU"/>
                  <w14:ligatures w14:val="none"/>
                </w:rPr>
                <w:t>R</w:t>
              </w:r>
              <w:r w:rsidR="002723F2" w:rsidRPr="007800ED">
                <w:rPr>
                  <w:rStyle w:val="Hyperlink"/>
                  <w:rFonts w:eastAsia="Times New Roman" w:cs="Times New Roman"/>
                  <w:color w:val="auto"/>
                  <w:kern w:val="0"/>
                  <w:lang w:eastAsia="en-AU"/>
                  <w14:ligatures w14:val="none"/>
                </w:rPr>
                <w:t xml:space="preserve">esearch </w:t>
              </w:r>
              <w:r w:rsidR="00EE118B" w:rsidRPr="007800ED">
                <w:rPr>
                  <w:rStyle w:val="Hyperlink"/>
                  <w:rFonts w:eastAsia="Times New Roman" w:cs="Times New Roman"/>
                  <w:color w:val="auto"/>
                  <w:kern w:val="0"/>
                  <w:lang w:eastAsia="en-AU"/>
                  <w14:ligatures w14:val="none"/>
                </w:rPr>
                <w:t>S</w:t>
              </w:r>
              <w:r w:rsidR="002723F2" w:rsidRPr="007800ED">
                <w:rPr>
                  <w:rStyle w:val="Hyperlink"/>
                  <w:rFonts w:eastAsia="Times New Roman" w:cs="Times New Roman"/>
                  <w:color w:val="auto"/>
                  <w:kern w:val="0"/>
                  <w:lang w:eastAsia="en-AU"/>
                  <w14:ligatures w14:val="none"/>
                </w:rPr>
                <w:t xml:space="preserve">napshot on the </w:t>
              </w:r>
              <w:r w:rsidRPr="007800ED">
                <w:rPr>
                  <w:rStyle w:val="Hyperlink"/>
                  <w:rFonts w:eastAsia="Times New Roman" w:cs="Times New Roman"/>
                  <w:color w:val="auto"/>
                  <w:kern w:val="0"/>
                  <w:lang w:eastAsia="en-AU"/>
                  <w14:ligatures w14:val="none"/>
                </w:rPr>
                <w:t>relationship between early childhood education and care and children’s development here</w:t>
              </w:r>
            </w:hyperlink>
          </w:p>
        </w:tc>
      </w:tr>
      <w:tr w:rsidR="007800ED" w:rsidRPr="007800ED" w14:paraId="7F4DF176" w14:textId="77777777" w:rsidTr="00593296">
        <w:trPr>
          <w:trHeight w:val="900"/>
        </w:trPr>
        <w:tc>
          <w:tcPr>
            <w:tcW w:w="8320" w:type="dxa"/>
            <w:tcBorders>
              <w:top w:val="nil"/>
              <w:left w:val="single" w:sz="4" w:space="0" w:color="auto"/>
              <w:bottom w:val="single" w:sz="4" w:space="0" w:color="auto"/>
              <w:right w:val="single" w:sz="4" w:space="0" w:color="auto"/>
            </w:tcBorders>
            <w:vAlign w:val="center"/>
            <w:hideMark/>
          </w:tcPr>
          <w:p w14:paraId="243E263E" w14:textId="3372F6F4" w:rsidR="000A6B61" w:rsidRPr="007800ED" w:rsidRDefault="000A6B61" w:rsidP="00593296">
            <w:pPr>
              <w:rPr>
                <w:lang w:eastAsia="en-AU"/>
              </w:rPr>
            </w:pPr>
            <w:hyperlink r:id="rId11" w:history="1">
              <w:r w:rsidRPr="007800ED">
                <w:rPr>
                  <w:rStyle w:val="Hyperlink"/>
                  <w:rFonts w:eastAsia="Times New Roman" w:cs="Times New Roman"/>
                  <w:color w:val="auto"/>
                  <w:kern w:val="0"/>
                  <w:lang w:eastAsia="en-AU"/>
                  <w14:ligatures w14:val="none"/>
                </w:rPr>
                <w:t>Read the research article Is the availability and quality of local early childhood education and care services associated with young children’s mental health at school entry here</w:t>
              </w:r>
            </w:hyperlink>
          </w:p>
        </w:tc>
      </w:tr>
      <w:tr w:rsidR="007800ED" w:rsidRPr="007800ED" w14:paraId="4F0C8A5B" w14:textId="77777777" w:rsidTr="00593296">
        <w:trPr>
          <w:trHeight w:val="600"/>
        </w:trPr>
        <w:tc>
          <w:tcPr>
            <w:tcW w:w="8320" w:type="dxa"/>
            <w:tcBorders>
              <w:top w:val="nil"/>
              <w:left w:val="single" w:sz="4" w:space="0" w:color="auto"/>
              <w:bottom w:val="single" w:sz="4" w:space="0" w:color="auto"/>
              <w:right w:val="single" w:sz="4" w:space="0" w:color="auto"/>
            </w:tcBorders>
            <w:vAlign w:val="center"/>
            <w:hideMark/>
          </w:tcPr>
          <w:p w14:paraId="6C352D02" w14:textId="3A21C810" w:rsidR="000A6B61" w:rsidRPr="007800ED" w:rsidRDefault="000A6B61" w:rsidP="00593296">
            <w:pPr>
              <w:rPr>
                <w:lang w:eastAsia="en-AU"/>
              </w:rPr>
            </w:pPr>
            <w:hyperlink r:id="rId12" w:history="1">
              <w:r w:rsidRPr="007800ED">
                <w:rPr>
                  <w:rStyle w:val="Hyperlink"/>
                  <w:rFonts w:eastAsia="Times New Roman" w:cs="Times New Roman"/>
                  <w:color w:val="auto"/>
                  <w:kern w:val="0"/>
                  <w:lang w:eastAsia="en-AU"/>
                  <w14:ligatures w14:val="none"/>
                </w:rPr>
                <w:t>Read the research article The Early Years Learning Framework for Australia and existing measures of child outcomes: Is there a relationship? here</w:t>
              </w:r>
            </w:hyperlink>
          </w:p>
        </w:tc>
      </w:tr>
    </w:tbl>
    <w:p w14:paraId="4F03D663" w14:textId="77777777" w:rsidR="00207CA5" w:rsidRPr="007800ED" w:rsidRDefault="00207CA5" w:rsidP="00207CA5">
      <w:pPr>
        <w:pStyle w:val="Heading2"/>
      </w:pPr>
      <w:r w:rsidRPr="007800ED">
        <w:t>Finding 3</w:t>
      </w:r>
    </w:p>
    <w:p w14:paraId="4EB797FA" w14:textId="02D4A516" w:rsidR="00271105" w:rsidRPr="007800ED" w:rsidRDefault="00572608" w:rsidP="00207CA5">
      <w:r w:rsidRPr="007800ED">
        <w:t>A child’s experience</w:t>
      </w:r>
      <w:r w:rsidR="0069178D" w:rsidRPr="007800ED">
        <w:t xml:space="preserve"> </w:t>
      </w:r>
      <w:r w:rsidRPr="007800ED">
        <w:t>of ill physical health</w:t>
      </w:r>
      <w:r w:rsidR="0069178D" w:rsidRPr="007800ED">
        <w:t xml:space="preserve"> </w:t>
      </w:r>
      <w:r w:rsidRPr="007800ED">
        <w:t>before school</w:t>
      </w:r>
      <w:r w:rsidR="0069178D" w:rsidRPr="007800ED">
        <w:t xml:space="preserve"> </w:t>
      </w:r>
      <w:r w:rsidRPr="007800ED">
        <w:t>has important</w:t>
      </w:r>
      <w:r w:rsidR="0069178D" w:rsidRPr="007800ED">
        <w:t xml:space="preserve"> </w:t>
      </w:r>
      <w:r w:rsidRPr="007800ED">
        <w:t>consequences for</w:t>
      </w:r>
      <w:r w:rsidR="0069178D" w:rsidRPr="007800ED">
        <w:t xml:space="preserve"> </w:t>
      </w:r>
      <w:r w:rsidRPr="007800ED">
        <w:t>their development</w:t>
      </w:r>
      <w:r w:rsidR="00A07096" w:rsidRPr="007800ED">
        <w:t xml:space="preserve">. Links to relevant research on these topics can be found in </w:t>
      </w:r>
      <w:r w:rsidR="00207CA5" w:rsidRPr="007800ED">
        <w:t>T</w:t>
      </w:r>
      <w:r w:rsidR="00A07096" w:rsidRPr="007800ED">
        <w:t xml:space="preserve">able </w:t>
      </w:r>
      <w:r w:rsidR="00207CA5" w:rsidRPr="007800ED">
        <w:t>3</w:t>
      </w:r>
      <w:r w:rsidR="00A07096" w:rsidRPr="007800ED">
        <w:t>.</w:t>
      </w:r>
    </w:p>
    <w:p w14:paraId="40DC9CC9" w14:textId="4F386E42" w:rsidR="00A07096" w:rsidRPr="007800ED" w:rsidRDefault="000E770B" w:rsidP="00207CA5">
      <w:r w:rsidRPr="007800ED">
        <w:t xml:space="preserve">Table </w:t>
      </w:r>
      <w:r w:rsidR="00207CA5" w:rsidRPr="007800ED">
        <w:t>3</w:t>
      </w:r>
      <w:r w:rsidR="00FC2AC1" w:rsidRPr="007800ED">
        <w:t>:</w:t>
      </w:r>
      <w:r w:rsidRPr="007800ED">
        <w:t xml:space="preserve"> </w:t>
      </w:r>
      <w:r w:rsidR="00A07096" w:rsidRPr="007800ED">
        <w:t xml:space="preserve">Research article relevant to </w:t>
      </w:r>
      <w:r w:rsidR="007B511D" w:rsidRPr="007800ED">
        <w:t>children’s</w:t>
      </w:r>
      <w:r w:rsidR="00A07096" w:rsidRPr="007800ED">
        <w:t xml:space="preserve"> experiences of ill physical health on development.</w:t>
      </w:r>
    </w:p>
    <w:tbl>
      <w:tblPr>
        <w:tblW w:w="8320" w:type="dxa"/>
        <w:tblLook w:val="04A0" w:firstRow="1" w:lastRow="0" w:firstColumn="1" w:lastColumn="0" w:noHBand="0" w:noVBand="1"/>
      </w:tblPr>
      <w:tblGrid>
        <w:gridCol w:w="8320"/>
      </w:tblGrid>
      <w:tr w:rsidR="007800ED" w:rsidRPr="007800ED" w14:paraId="5EE3966F" w14:textId="77777777" w:rsidTr="00593296">
        <w:trPr>
          <w:trHeight w:val="600"/>
        </w:trPr>
        <w:tc>
          <w:tcPr>
            <w:tcW w:w="8320" w:type="dxa"/>
            <w:tcBorders>
              <w:top w:val="single" w:sz="4" w:space="0" w:color="auto"/>
              <w:left w:val="single" w:sz="4" w:space="0" w:color="auto"/>
              <w:bottom w:val="single" w:sz="4" w:space="0" w:color="auto"/>
              <w:right w:val="single" w:sz="4" w:space="0" w:color="auto"/>
            </w:tcBorders>
            <w:vAlign w:val="center"/>
            <w:hideMark/>
          </w:tcPr>
          <w:p w14:paraId="7432E0B6" w14:textId="10948C3A" w:rsidR="00A07096" w:rsidRPr="007800ED" w:rsidRDefault="00A07096" w:rsidP="00593296">
            <w:pPr>
              <w:rPr>
                <w:lang w:eastAsia="en-AU"/>
              </w:rPr>
            </w:pPr>
            <w:hyperlink r:id="rId13" w:history="1">
              <w:r w:rsidRPr="007800ED">
                <w:rPr>
                  <w:rStyle w:val="Hyperlink"/>
                  <w:rFonts w:eastAsia="Times New Roman" w:cs="Times New Roman"/>
                  <w:color w:val="auto"/>
                  <w:kern w:val="0"/>
                  <w:lang w:eastAsia="en-AU"/>
                  <w14:ligatures w14:val="none"/>
                </w:rPr>
                <w:t xml:space="preserve">Read the research </w:t>
              </w:r>
              <w:r w:rsidR="002723F2" w:rsidRPr="007800ED">
                <w:rPr>
                  <w:rStyle w:val="Hyperlink"/>
                  <w:rFonts w:eastAsia="Times New Roman" w:cs="Times New Roman"/>
                  <w:color w:val="auto"/>
                  <w:kern w:val="0"/>
                  <w:lang w:eastAsia="en-AU"/>
                  <w14:ligatures w14:val="none"/>
                </w:rPr>
                <w:t xml:space="preserve">article </w:t>
              </w:r>
              <w:r w:rsidRPr="007800ED">
                <w:rPr>
                  <w:rStyle w:val="Hyperlink"/>
                  <w:rFonts w:eastAsia="Times New Roman" w:cs="Times New Roman"/>
                  <w:color w:val="auto"/>
                  <w:kern w:val="0"/>
                  <w:lang w:eastAsia="en-AU"/>
                  <w14:ligatures w14:val="none"/>
                </w:rPr>
                <w:t>The Impact of Cancer on Early Childhood Development: A Linked Data Study here</w:t>
              </w:r>
            </w:hyperlink>
          </w:p>
        </w:tc>
      </w:tr>
    </w:tbl>
    <w:p w14:paraId="1ADCBC39" w14:textId="0D11B0E4" w:rsidR="00807079" w:rsidRPr="007800ED" w:rsidRDefault="00207CA5" w:rsidP="00807079">
      <w:pPr>
        <w:pStyle w:val="Heading2"/>
      </w:pPr>
      <w:r w:rsidRPr="007800ED">
        <w:t>Finding 4</w:t>
      </w:r>
    </w:p>
    <w:p w14:paraId="1EDAED34" w14:textId="524573AD" w:rsidR="000E770B" w:rsidRPr="007800ED" w:rsidRDefault="00572608" w:rsidP="00207CA5">
      <w:r w:rsidRPr="007800ED">
        <w:t>To thrive</w:t>
      </w:r>
      <w:r w:rsidR="0069178D" w:rsidRPr="007800ED">
        <w:t xml:space="preserve"> </w:t>
      </w:r>
      <w:r w:rsidR="00A07096" w:rsidRPr="007800ED">
        <w:t>children,</w:t>
      </w:r>
      <w:r w:rsidRPr="007800ED">
        <w:t xml:space="preserve"> need</w:t>
      </w:r>
      <w:r w:rsidR="0069178D" w:rsidRPr="007800ED">
        <w:t xml:space="preserve"> </w:t>
      </w:r>
      <w:r w:rsidRPr="007800ED">
        <w:t>mental health</w:t>
      </w:r>
      <w:r w:rsidR="0069178D" w:rsidRPr="007800ED">
        <w:t xml:space="preserve"> </w:t>
      </w:r>
      <w:r w:rsidRPr="007800ED">
        <w:t>competency</w:t>
      </w:r>
      <w:r w:rsidR="0069178D" w:rsidRPr="007800ED">
        <w:t xml:space="preserve"> </w:t>
      </w:r>
      <w:r w:rsidRPr="007800ED">
        <w:t>and an absence</w:t>
      </w:r>
      <w:r w:rsidR="0069178D" w:rsidRPr="007800ED">
        <w:t xml:space="preserve"> </w:t>
      </w:r>
      <w:r w:rsidRPr="007800ED">
        <w:t>of mental health</w:t>
      </w:r>
      <w:r w:rsidR="0069178D" w:rsidRPr="007800ED">
        <w:t xml:space="preserve"> </w:t>
      </w:r>
      <w:r w:rsidRPr="007800ED">
        <w:t>difficulties</w:t>
      </w:r>
      <w:r w:rsidR="00A07096" w:rsidRPr="007800ED">
        <w:t xml:space="preserve">. Links to relevant research on these topics can be found in </w:t>
      </w:r>
      <w:r w:rsidR="00207CA5" w:rsidRPr="007800ED">
        <w:t>T</w:t>
      </w:r>
      <w:r w:rsidR="00A07096" w:rsidRPr="007800ED">
        <w:t xml:space="preserve">able </w:t>
      </w:r>
      <w:r w:rsidR="00207CA5" w:rsidRPr="007800ED">
        <w:t>4</w:t>
      </w:r>
      <w:r w:rsidR="00A07096" w:rsidRPr="007800ED">
        <w:t>.</w:t>
      </w:r>
    </w:p>
    <w:p w14:paraId="18D8D226" w14:textId="2D6C70A6" w:rsidR="00A07096" w:rsidRPr="007800ED" w:rsidRDefault="000E770B" w:rsidP="00207CA5">
      <w:r w:rsidRPr="007800ED">
        <w:t xml:space="preserve">Table </w:t>
      </w:r>
      <w:r w:rsidR="00207CA5" w:rsidRPr="007800ED">
        <w:t>4</w:t>
      </w:r>
      <w:r w:rsidR="00FC2AC1" w:rsidRPr="007800ED">
        <w:t>:</w:t>
      </w:r>
      <w:r w:rsidRPr="007800ED">
        <w:t xml:space="preserve"> </w:t>
      </w:r>
      <w:r w:rsidR="00A07096" w:rsidRPr="007800ED">
        <w:t>Research snapshot relevant to mental health and children’s early learning.</w:t>
      </w:r>
    </w:p>
    <w:tbl>
      <w:tblPr>
        <w:tblW w:w="8320" w:type="dxa"/>
        <w:tblLook w:val="04A0" w:firstRow="1" w:lastRow="0" w:firstColumn="1" w:lastColumn="0" w:noHBand="0" w:noVBand="1"/>
      </w:tblPr>
      <w:tblGrid>
        <w:gridCol w:w="8320"/>
      </w:tblGrid>
      <w:tr w:rsidR="007800ED" w:rsidRPr="007800ED" w14:paraId="1FB318C7" w14:textId="77777777" w:rsidTr="00593296">
        <w:trPr>
          <w:trHeight w:val="600"/>
        </w:trPr>
        <w:tc>
          <w:tcPr>
            <w:tcW w:w="8320" w:type="dxa"/>
            <w:tcBorders>
              <w:top w:val="single" w:sz="4" w:space="0" w:color="auto"/>
              <w:left w:val="single" w:sz="4" w:space="0" w:color="auto"/>
              <w:bottom w:val="single" w:sz="4" w:space="0" w:color="auto"/>
              <w:right w:val="single" w:sz="4" w:space="0" w:color="auto"/>
            </w:tcBorders>
            <w:vAlign w:val="center"/>
            <w:hideMark/>
          </w:tcPr>
          <w:p w14:paraId="71533207" w14:textId="008DC3CF" w:rsidR="00A07096" w:rsidRPr="007800ED" w:rsidRDefault="00A07096" w:rsidP="00593296">
            <w:pPr>
              <w:rPr>
                <w:rFonts w:eastAsia="Times New Roman" w:cs="Times New Roman"/>
                <w:kern w:val="0"/>
                <w:lang w:eastAsia="en-AU"/>
                <w14:ligatures w14:val="none"/>
              </w:rPr>
            </w:pPr>
            <w:hyperlink r:id="rId14" w:history="1">
              <w:r w:rsidRPr="007800ED">
                <w:rPr>
                  <w:rStyle w:val="Hyperlink"/>
                  <w:rFonts w:eastAsia="Times New Roman" w:cs="Times New Roman"/>
                  <w:color w:val="auto"/>
                  <w:kern w:val="0"/>
                  <w:lang w:eastAsia="en-AU"/>
                  <w14:ligatures w14:val="none"/>
                </w:rPr>
                <w:t xml:space="preserve">Read the AEDC </w:t>
              </w:r>
              <w:r w:rsidR="00EE118B" w:rsidRPr="007800ED">
                <w:rPr>
                  <w:rStyle w:val="Hyperlink"/>
                  <w:rFonts w:eastAsia="Times New Roman" w:cs="Times New Roman"/>
                  <w:color w:val="auto"/>
                  <w:kern w:val="0"/>
                  <w:lang w:eastAsia="en-AU"/>
                  <w14:ligatures w14:val="none"/>
                </w:rPr>
                <w:t>R</w:t>
              </w:r>
              <w:r w:rsidRPr="007800ED">
                <w:rPr>
                  <w:rStyle w:val="Hyperlink"/>
                  <w:rFonts w:eastAsia="Times New Roman" w:cs="Times New Roman"/>
                  <w:color w:val="auto"/>
                  <w:kern w:val="0"/>
                  <w:lang w:eastAsia="en-AU"/>
                  <w14:ligatures w14:val="none"/>
                </w:rPr>
                <w:t xml:space="preserve">esearch </w:t>
              </w:r>
              <w:r w:rsidR="00EE118B" w:rsidRPr="007800ED">
                <w:rPr>
                  <w:rStyle w:val="Hyperlink"/>
                  <w:rFonts w:eastAsia="Times New Roman" w:cs="Times New Roman"/>
                  <w:color w:val="auto"/>
                  <w:kern w:val="0"/>
                  <w:lang w:eastAsia="en-AU"/>
                  <w14:ligatures w14:val="none"/>
                </w:rPr>
                <w:t>S</w:t>
              </w:r>
              <w:r w:rsidRPr="007800ED">
                <w:rPr>
                  <w:rStyle w:val="Hyperlink"/>
                  <w:rFonts w:eastAsia="Times New Roman" w:cs="Times New Roman"/>
                  <w:color w:val="auto"/>
                  <w:kern w:val="0"/>
                  <w:lang w:eastAsia="en-AU"/>
                  <w14:ligatures w14:val="none"/>
                </w:rPr>
                <w:t>napshot Mental health and children’s early learning: Why it’s important to think about the combination of difficulties and competence here</w:t>
              </w:r>
            </w:hyperlink>
          </w:p>
        </w:tc>
      </w:tr>
    </w:tbl>
    <w:p w14:paraId="06562274" w14:textId="77777777" w:rsidR="00807079" w:rsidRPr="007800ED" w:rsidRDefault="00207CA5" w:rsidP="00807079">
      <w:pPr>
        <w:pStyle w:val="Heading2"/>
      </w:pPr>
      <w:r w:rsidRPr="007800ED">
        <w:t>Finding 5</w:t>
      </w:r>
    </w:p>
    <w:p w14:paraId="7414E6D7" w14:textId="74A7E10E" w:rsidR="000E770B" w:rsidRPr="007800ED" w:rsidRDefault="00572608" w:rsidP="00207CA5">
      <w:r w:rsidRPr="007800ED">
        <w:t>Children exposed to</w:t>
      </w:r>
      <w:r w:rsidR="0069178D" w:rsidRPr="007800ED">
        <w:t xml:space="preserve"> </w:t>
      </w:r>
      <w:r w:rsidR="00A07096" w:rsidRPr="007800ED">
        <w:t>abuse,</w:t>
      </w:r>
      <w:r w:rsidRPr="007800ED">
        <w:t xml:space="preserve"> and neglect have</w:t>
      </w:r>
      <w:r w:rsidR="0069178D" w:rsidRPr="007800ED">
        <w:t xml:space="preserve"> </w:t>
      </w:r>
      <w:r w:rsidRPr="007800ED">
        <w:t>substantially higher risk of</w:t>
      </w:r>
      <w:r w:rsidR="0069178D" w:rsidRPr="007800ED">
        <w:t xml:space="preserve"> </w:t>
      </w:r>
      <w:r w:rsidRPr="007800ED">
        <w:t>developmental vulnerability.</w:t>
      </w:r>
      <w:r w:rsidR="0069178D" w:rsidRPr="007800ED">
        <w:t xml:space="preserve"> </w:t>
      </w:r>
      <w:r w:rsidRPr="007800ED">
        <w:t>Placement into out-of-homecare reduces risk for some</w:t>
      </w:r>
      <w:r w:rsidR="0069178D" w:rsidRPr="007800ED">
        <w:t xml:space="preserve"> </w:t>
      </w:r>
      <w:r w:rsidRPr="007800ED">
        <w:t>domains but increases risk</w:t>
      </w:r>
      <w:r w:rsidR="0069178D" w:rsidRPr="007800ED">
        <w:t xml:space="preserve"> </w:t>
      </w:r>
      <w:r w:rsidRPr="007800ED">
        <w:t>for children’s social and</w:t>
      </w:r>
      <w:r w:rsidR="0069178D" w:rsidRPr="007800ED">
        <w:t xml:space="preserve"> </w:t>
      </w:r>
      <w:r w:rsidRPr="007800ED">
        <w:t>emotional wellbeing</w:t>
      </w:r>
      <w:r w:rsidR="000B37E1" w:rsidRPr="007800ED">
        <w:t xml:space="preserve">. Links to relevant research on these topics can be found in </w:t>
      </w:r>
      <w:r w:rsidR="00707138" w:rsidRPr="007800ED">
        <w:t>T</w:t>
      </w:r>
      <w:r w:rsidR="000B37E1" w:rsidRPr="007800ED">
        <w:t xml:space="preserve">able </w:t>
      </w:r>
      <w:r w:rsidR="00807079" w:rsidRPr="007800ED">
        <w:t>5</w:t>
      </w:r>
      <w:r w:rsidR="000B37E1" w:rsidRPr="007800ED">
        <w:t>.</w:t>
      </w:r>
    </w:p>
    <w:p w14:paraId="28FCF05F" w14:textId="3F5D06C9" w:rsidR="000E770B" w:rsidRPr="007800ED" w:rsidRDefault="000E770B" w:rsidP="00207CA5">
      <w:r w:rsidRPr="007800ED">
        <w:t xml:space="preserve">Table </w:t>
      </w:r>
      <w:r w:rsidR="00807079" w:rsidRPr="007800ED">
        <w:t>5</w:t>
      </w:r>
      <w:r w:rsidR="00FC2AC1" w:rsidRPr="007800ED">
        <w:t xml:space="preserve">: </w:t>
      </w:r>
      <w:r w:rsidR="000B37E1" w:rsidRPr="007800ED">
        <w:t>Research articles relevant to impacts of child abuse and neglect and social and emotional wellbeing</w:t>
      </w:r>
    </w:p>
    <w:tbl>
      <w:tblPr>
        <w:tblW w:w="8320" w:type="dxa"/>
        <w:tblLook w:val="04A0" w:firstRow="1" w:lastRow="0" w:firstColumn="1" w:lastColumn="0" w:noHBand="0" w:noVBand="1"/>
      </w:tblPr>
      <w:tblGrid>
        <w:gridCol w:w="8320"/>
      </w:tblGrid>
      <w:tr w:rsidR="007800ED" w:rsidRPr="007800ED" w14:paraId="122E7CCE" w14:textId="77777777" w:rsidTr="00593296">
        <w:trPr>
          <w:trHeight w:val="665"/>
        </w:trPr>
        <w:tc>
          <w:tcPr>
            <w:tcW w:w="8320" w:type="dxa"/>
            <w:tcBorders>
              <w:top w:val="single" w:sz="4" w:space="0" w:color="auto"/>
              <w:left w:val="single" w:sz="4" w:space="0" w:color="auto"/>
              <w:bottom w:val="single" w:sz="4" w:space="0" w:color="auto"/>
              <w:right w:val="single" w:sz="4" w:space="0" w:color="auto"/>
            </w:tcBorders>
            <w:vAlign w:val="center"/>
            <w:hideMark/>
          </w:tcPr>
          <w:p w14:paraId="54A67DA1" w14:textId="0A42D344" w:rsidR="000B37E1" w:rsidRPr="007800ED" w:rsidRDefault="000B37E1" w:rsidP="00593296">
            <w:pPr>
              <w:rPr>
                <w:rFonts w:eastAsia="Times New Roman" w:cs="Times New Roman"/>
                <w:kern w:val="0"/>
                <w:lang w:eastAsia="en-AU"/>
                <w14:ligatures w14:val="none"/>
              </w:rPr>
            </w:pPr>
            <w:hyperlink r:id="rId15" w:history="1">
              <w:r w:rsidRPr="007800ED">
                <w:rPr>
                  <w:rStyle w:val="Hyperlink"/>
                  <w:rFonts w:eastAsia="Times New Roman" w:cs="Times New Roman"/>
                  <w:color w:val="auto"/>
                  <w:kern w:val="0"/>
                  <w:lang w:eastAsia="en-AU"/>
                  <w14:ligatures w14:val="none"/>
                </w:rPr>
                <w:t xml:space="preserve">Read the AEDC </w:t>
              </w:r>
              <w:r w:rsidR="00EE118B" w:rsidRPr="007800ED">
                <w:rPr>
                  <w:rStyle w:val="Hyperlink"/>
                  <w:rFonts w:eastAsia="Times New Roman" w:cs="Times New Roman"/>
                  <w:color w:val="auto"/>
                  <w:kern w:val="0"/>
                  <w:lang w:eastAsia="en-AU"/>
                  <w14:ligatures w14:val="none"/>
                </w:rPr>
                <w:t>R</w:t>
              </w:r>
              <w:r w:rsidRPr="007800ED">
                <w:rPr>
                  <w:rStyle w:val="Hyperlink"/>
                  <w:rFonts w:eastAsia="Times New Roman" w:cs="Times New Roman"/>
                  <w:color w:val="auto"/>
                  <w:kern w:val="0"/>
                  <w:lang w:eastAsia="en-AU"/>
                  <w14:ligatures w14:val="none"/>
                </w:rPr>
                <w:t xml:space="preserve">esearch </w:t>
              </w:r>
              <w:r w:rsidR="00EE118B" w:rsidRPr="007800ED">
                <w:rPr>
                  <w:rStyle w:val="Hyperlink"/>
                  <w:rFonts w:eastAsia="Times New Roman" w:cs="Times New Roman"/>
                  <w:color w:val="auto"/>
                  <w:kern w:val="0"/>
                  <w:lang w:eastAsia="en-AU"/>
                  <w14:ligatures w14:val="none"/>
                </w:rPr>
                <w:t>S</w:t>
              </w:r>
              <w:r w:rsidRPr="007800ED">
                <w:rPr>
                  <w:rStyle w:val="Hyperlink"/>
                  <w:rFonts w:eastAsia="Times New Roman" w:cs="Times New Roman"/>
                  <w:color w:val="auto"/>
                  <w:kern w:val="0"/>
                  <w:lang w:eastAsia="en-AU"/>
                  <w14:ligatures w14:val="none"/>
                </w:rPr>
                <w:t>napshot Contact with the child protection system and children’s development here</w:t>
              </w:r>
            </w:hyperlink>
          </w:p>
        </w:tc>
      </w:tr>
      <w:tr w:rsidR="007800ED" w:rsidRPr="007800ED" w14:paraId="10C630A8" w14:textId="77777777" w:rsidTr="00593296">
        <w:trPr>
          <w:trHeight w:val="600"/>
        </w:trPr>
        <w:tc>
          <w:tcPr>
            <w:tcW w:w="8320" w:type="dxa"/>
            <w:tcBorders>
              <w:top w:val="nil"/>
              <w:left w:val="single" w:sz="4" w:space="0" w:color="auto"/>
              <w:bottom w:val="single" w:sz="4" w:space="0" w:color="auto"/>
              <w:right w:val="single" w:sz="4" w:space="0" w:color="auto"/>
            </w:tcBorders>
            <w:vAlign w:val="center"/>
            <w:hideMark/>
          </w:tcPr>
          <w:p w14:paraId="1C76B338" w14:textId="702A5CEB" w:rsidR="000B37E1" w:rsidRPr="007800ED" w:rsidRDefault="000B37E1" w:rsidP="00593296">
            <w:pPr>
              <w:rPr>
                <w:lang w:eastAsia="en-AU"/>
              </w:rPr>
            </w:pPr>
            <w:hyperlink r:id="rId16" w:history="1">
              <w:r w:rsidRPr="007800ED">
                <w:rPr>
                  <w:rStyle w:val="Hyperlink"/>
                  <w:rFonts w:eastAsia="Times New Roman" w:cs="Times New Roman"/>
                  <w:color w:val="auto"/>
                  <w:kern w:val="0"/>
                  <w:lang w:eastAsia="en-AU"/>
                  <w14:ligatures w14:val="none"/>
                </w:rPr>
                <w:t>Read the research article Investigating the impact of Out-of-Home Care on early childhood development here</w:t>
              </w:r>
            </w:hyperlink>
          </w:p>
        </w:tc>
      </w:tr>
    </w:tbl>
    <w:p w14:paraId="3AE60E76" w14:textId="00E6AC6A" w:rsidR="001C67F9" w:rsidRPr="007800ED" w:rsidRDefault="00807079" w:rsidP="00913424">
      <w:pPr>
        <w:pStyle w:val="Heading2"/>
        <w:keepNext/>
      </w:pPr>
      <w:r w:rsidRPr="007800ED">
        <w:t>Finding 6</w:t>
      </w:r>
    </w:p>
    <w:p w14:paraId="0EA67FDC" w14:textId="12BE4316" w:rsidR="00572608" w:rsidRPr="007800ED" w:rsidRDefault="00572608" w:rsidP="00207CA5">
      <w:r w:rsidRPr="007800ED">
        <w:t>Modifiable neighbourhood</w:t>
      </w:r>
      <w:r w:rsidR="0069178D" w:rsidRPr="007800ED">
        <w:t xml:space="preserve"> </w:t>
      </w:r>
      <w:r w:rsidRPr="007800ED">
        <w:t>characteristics, such as</w:t>
      </w:r>
      <w:r w:rsidR="0069178D" w:rsidRPr="007800ED">
        <w:t xml:space="preserve"> </w:t>
      </w:r>
      <w:r w:rsidRPr="007800ED">
        <w:t>access to services and</w:t>
      </w:r>
      <w:r w:rsidR="0069178D" w:rsidRPr="007800ED">
        <w:t xml:space="preserve"> </w:t>
      </w:r>
      <w:r w:rsidRPr="007800ED">
        <w:t>supports, affordable</w:t>
      </w:r>
      <w:r w:rsidR="0069178D" w:rsidRPr="007800ED">
        <w:t xml:space="preserve"> </w:t>
      </w:r>
      <w:r w:rsidRPr="007800ED">
        <w:t>housing and access to</w:t>
      </w:r>
      <w:r w:rsidR="0069178D" w:rsidRPr="007800ED">
        <w:t xml:space="preserve"> </w:t>
      </w:r>
      <w:r w:rsidRPr="007800ED">
        <w:t>public open spaces are</w:t>
      </w:r>
      <w:r w:rsidR="0069178D" w:rsidRPr="007800ED">
        <w:t xml:space="preserve"> </w:t>
      </w:r>
      <w:r w:rsidRPr="007800ED">
        <w:t>associated with better</w:t>
      </w:r>
      <w:r w:rsidR="0069178D" w:rsidRPr="007800ED">
        <w:t xml:space="preserve"> </w:t>
      </w:r>
      <w:r w:rsidRPr="007800ED">
        <w:t>child development</w:t>
      </w:r>
      <w:r w:rsidR="0069178D" w:rsidRPr="007800ED">
        <w:t xml:space="preserve"> </w:t>
      </w:r>
      <w:r w:rsidRPr="007800ED">
        <w:t>outcomes</w:t>
      </w:r>
      <w:r w:rsidR="00530E18" w:rsidRPr="007800ED">
        <w:t xml:space="preserve">. Links to relevant research on these topics can be found in </w:t>
      </w:r>
      <w:r w:rsidR="00707138" w:rsidRPr="007800ED">
        <w:t>T</w:t>
      </w:r>
      <w:r w:rsidR="00530E18" w:rsidRPr="007800ED">
        <w:t xml:space="preserve">able </w:t>
      </w:r>
      <w:r w:rsidR="00913424" w:rsidRPr="007800ED">
        <w:t>6</w:t>
      </w:r>
      <w:r w:rsidR="00530E18" w:rsidRPr="007800ED">
        <w:t>.</w:t>
      </w:r>
    </w:p>
    <w:p w14:paraId="5B438AEF" w14:textId="0D5C2D26" w:rsidR="000E770B" w:rsidRPr="007800ED" w:rsidRDefault="000E770B" w:rsidP="00207CA5">
      <w:r w:rsidRPr="007800ED">
        <w:t xml:space="preserve">Table </w:t>
      </w:r>
      <w:r w:rsidR="00807079" w:rsidRPr="007800ED">
        <w:t>6</w:t>
      </w:r>
      <w:r w:rsidR="00FC2AC1" w:rsidRPr="007800ED">
        <w:t xml:space="preserve">: </w:t>
      </w:r>
      <w:r w:rsidR="00530E18" w:rsidRPr="007800ED">
        <w:t xml:space="preserve">Research articles relevant to </w:t>
      </w:r>
      <w:r w:rsidR="00EB5BD1" w:rsidRPr="007800ED">
        <w:t xml:space="preserve">how </w:t>
      </w:r>
      <w:r w:rsidR="00634DE7" w:rsidRPr="007800ED">
        <w:t xml:space="preserve">neighbourhood </w:t>
      </w:r>
      <w:r w:rsidR="00530E18" w:rsidRPr="007800ED">
        <w:t xml:space="preserve">characteristics </w:t>
      </w:r>
      <w:r w:rsidR="00A077A4" w:rsidRPr="007800ED">
        <w:t>contribute to</w:t>
      </w:r>
      <w:r w:rsidR="00530E18" w:rsidRPr="007800ED">
        <w:t xml:space="preserve"> childhood development.</w:t>
      </w:r>
    </w:p>
    <w:tbl>
      <w:tblPr>
        <w:tblW w:w="8320" w:type="dxa"/>
        <w:tblLook w:val="04A0" w:firstRow="1" w:lastRow="0" w:firstColumn="1" w:lastColumn="0" w:noHBand="0" w:noVBand="1"/>
      </w:tblPr>
      <w:tblGrid>
        <w:gridCol w:w="8320"/>
      </w:tblGrid>
      <w:tr w:rsidR="007800ED" w:rsidRPr="007800ED" w14:paraId="5C349D50" w14:textId="77777777" w:rsidTr="00593296">
        <w:trPr>
          <w:trHeight w:val="647"/>
        </w:trPr>
        <w:tc>
          <w:tcPr>
            <w:tcW w:w="8320" w:type="dxa"/>
            <w:tcBorders>
              <w:top w:val="single" w:sz="4" w:space="0" w:color="auto"/>
              <w:left w:val="single" w:sz="4" w:space="0" w:color="auto"/>
              <w:bottom w:val="single" w:sz="4" w:space="0" w:color="auto"/>
              <w:right w:val="single" w:sz="4" w:space="0" w:color="auto"/>
            </w:tcBorders>
            <w:vAlign w:val="center"/>
            <w:hideMark/>
          </w:tcPr>
          <w:p w14:paraId="6C643AE7" w14:textId="77777777" w:rsidR="00F4682B" w:rsidRPr="007800ED" w:rsidRDefault="00F4682B" w:rsidP="00593296">
            <w:pPr>
              <w:rPr>
                <w:rFonts w:eastAsia="Times New Roman" w:cs="Times New Roman"/>
                <w:kern w:val="0"/>
                <w:lang w:eastAsia="en-AU"/>
                <w14:ligatures w14:val="none"/>
              </w:rPr>
            </w:pPr>
            <w:hyperlink r:id="rId17" w:history="1">
              <w:r w:rsidRPr="007800ED">
                <w:rPr>
                  <w:rStyle w:val="Hyperlink"/>
                  <w:rFonts w:eastAsia="Times New Roman" w:cs="Times New Roman"/>
                  <w:color w:val="auto"/>
                  <w:kern w:val="0"/>
                  <w:lang w:eastAsia="en-AU"/>
                  <w14:ligatures w14:val="none"/>
                </w:rPr>
                <w:t>Read the research report Foundational Community Factors (FCFs) for Early Childhood Development here</w:t>
              </w:r>
            </w:hyperlink>
          </w:p>
        </w:tc>
      </w:tr>
      <w:tr w:rsidR="007800ED" w:rsidRPr="007800ED" w14:paraId="0450E5A9" w14:textId="77777777" w:rsidTr="00593296">
        <w:trPr>
          <w:trHeight w:val="600"/>
        </w:trPr>
        <w:tc>
          <w:tcPr>
            <w:tcW w:w="8320" w:type="dxa"/>
            <w:tcBorders>
              <w:top w:val="nil"/>
              <w:left w:val="single" w:sz="4" w:space="0" w:color="auto"/>
              <w:bottom w:val="single" w:sz="4" w:space="0" w:color="auto"/>
              <w:right w:val="single" w:sz="4" w:space="0" w:color="auto"/>
            </w:tcBorders>
            <w:vAlign w:val="center"/>
            <w:hideMark/>
          </w:tcPr>
          <w:p w14:paraId="6983E764" w14:textId="3578FFE1" w:rsidR="00F4682B" w:rsidRPr="007800ED" w:rsidRDefault="00F4682B" w:rsidP="00593296">
            <w:pPr>
              <w:rPr>
                <w:lang w:eastAsia="en-AU"/>
              </w:rPr>
            </w:pPr>
            <w:hyperlink r:id="rId18" w:history="1">
              <w:r w:rsidRPr="007800ED">
                <w:rPr>
                  <w:rStyle w:val="Hyperlink"/>
                  <w:rFonts w:eastAsia="Times New Roman" w:cs="Times New Roman"/>
                  <w:color w:val="auto"/>
                  <w:kern w:val="0"/>
                  <w:lang w:eastAsia="en-AU"/>
                  <w14:ligatures w14:val="none"/>
                </w:rPr>
                <w:t>Read the research article Exploring the impact of neighbourhood social fragmentation on early childhood developmental vulnerability here</w:t>
              </w:r>
            </w:hyperlink>
          </w:p>
        </w:tc>
      </w:tr>
      <w:tr w:rsidR="007800ED" w:rsidRPr="007800ED" w14:paraId="15E16764" w14:textId="77777777" w:rsidTr="00593296">
        <w:trPr>
          <w:trHeight w:val="900"/>
        </w:trPr>
        <w:tc>
          <w:tcPr>
            <w:tcW w:w="8320" w:type="dxa"/>
            <w:tcBorders>
              <w:top w:val="nil"/>
              <w:left w:val="single" w:sz="4" w:space="0" w:color="auto"/>
              <w:bottom w:val="single" w:sz="4" w:space="0" w:color="auto"/>
              <w:right w:val="single" w:sz="4" w:space="0" w:color="auto"/>
            </w:tcBorders>
            <w:vAlign w:val="center"/>
            <w:hideMark/>
          </w:tcPr>
          <w:p w14:paraId="2E874150" w14:textId="77777777" w:rsidR="00F4682B" w:rsidRPr="007800ED" w:rsidRDefault="00F4682B" w:rsidP="00593296">
            <w:pPr>
              <w:rPr>
                <w:lang w:eastAsia="en-AU"/>
              </w:rPr>
            </w:pPr>
            <w:hyperlink r:id="rId19" w:history="1">
              <w:r w:rsidRPr="007800ED">
                <w:rPr>
                  <w:rStyle w:val="Hyperlink"/>
                  <w:rFonts w:eastAsia="Times New Roman" w:cs="Times New Roman"/>
                  <w:color w:val="auto"/>
                  <w:kern w:val="0"/>
                  <w:lang w:eastAsia="en-AU"/>
                  <w14:ligatures w14:val="none"/>
                </w:rPr>
                <w:t>Read the research article Access to and Quality of Neighbourhood Public Open Space and Children’s Mental Health Outcomes: Evidence from Population Linked Data across Eight Australian Capital Cities here</w:t>
              </w:r>
            </w:hyperlink>
          </w:p>
        </w:tc>
      </w:tr>
    </w:tbl>
    <w:p w14:paraId="24D93CD3" w14:textId="2ED7860D" w:rsidR="001C67F9" w:rsidRPr="007800ED" w:rsidRDefault="00807079" w:rsidP="00207CA5">
      <w:pPr>
        <w:pStyle w:val="Heading2"/>
      </w:pPr>
      <w:r w:rsidRPr="007800ED">
        <w:t>Finding 7</w:t>
      </w:r>
    </w:p>
    <w:p w14:paraId="6890281D" w14:textId="7A7FB853" w:rsidR="00EB5BD1" w:rsidRPr="007800ED" w:rsidRDefault="00572608" w:rsidP="00207CA5">
      <w:r w:rsidRPr="007800ED">
        <w:t>Children from culturally</w:t>
      </w:r>
      <w:r w:rsidR="0069178D" w:rsidRPr="007800ED">
        <w:t xml:space="preserve"> </w:t>
      </w:r>
      <w:r w:rsidRPr="007800ED">
        <w:t>and linguistically diverse</w:t>
      </w:r>
      <w:r w:rsidR="0069178D" w:rsidRPr="007800ED">
        <w:t xml:space="preserve"> </w:t>
      </w:r>
      <w:r w:rsidRPr="007800ED">
        <w:t>backgrounds have higher</w:t>
      </w:r>
      <w:r w:rsidR="0069178D" w:rsidRPr="007800ED">
        <w:t xml:space="preserve"> </w:t>
      </w:r>
      <w:r w:rsidRPr="007800ED">
        <w:t>rates of developmental</w:t>
      </w:r>
      <w:r w:rsidR="0069178D" w:rsidRPr="007800ED">
        <w:t xml:space="preserve"> </w:t>
      </w:r>
      <w:r w:rsidRPr="007800ED">
        <w:t>vulnerability in communication,</w:t>
      </w:r>
      <w:r w:rsidR="0069178D" w:rsidRPr="007800ED">
        <w:t xml:space="preserve"> </w:t>
      </w:r>
      <w:r w:rsidRPr="007800ED">
        <w:t>literacy and numeracy. While many</w:t>
      </w:r>
      <w:r w:rsidR="0069178D" w:rsidRPr="007800ED">
        <w:t xml:space="preserve"> </w:t>
      </w:r>
      <w:r w:rsidRPr="007800ED">
        <w:t>dual language learners have slower early</w:t>
      </w:r>
      <w:r w:rsidR="0069178D" w:rsidRPr="007800ED">
        <w:t xml:space="preserve"> </w:t>
      </w:r>
      <w:r w:rsidRPr="007800ED">
        <w:t>language acquisition, they also have strengths</w:t>
      </w:r>
      <w:r w:rsidR="0069178D" w:rsidRPr="007800ED">
        <w:t xml:space="preserve"> </w:t>
      </w:r>
      <w:r w:rsidRPr="007800ED">
        <w:t>in self-regulation and executive functioning</w:t>
      </w:r>
      <w:r w:rsidR="00EB5BD1" w:rsidRPr="007800ED">
        <w:t xml:space="preserve">. Links to relevant research on these topics can be found in </w:t>
      </w:r>
      <w:r w:rsidR="00707138" w:rsidRPr="007800ED">
        <w:t>T</w:t>
      </w:r>
      <w:r w:rsidR="00EB5BD1" w:rsidRPr="007800ED">
        <w:t xml:space="preserve">able </w:t>
      </w:r>
      <w:r w:rsidR="00807079" w:rsidRPr="007800ED">
        <w:t>7</w:t>
      </w:r>
      <w:r w:rsidR="00EB5BD1" w:rsidRPr="007800ED">
        <w:t>.</w:t>
      </w:r>
    </w:p>
    <w:p w14:paraId="274A8ED5" w14:textId="4BC0E648" w:rsidR="00EB5BD1" w:rsidRPr="007800ED" w:rsidRDefault="000E770B" w:rsidP="00207CA5">
      <w:r w:rsidRPr="007800ED">
        <w:t xml:space="preserve">Table </w:t>
      </w:r>
      <w:r w:rsidR="00807079" w:rsidRPr="007800ED">
        <w:t>7</w:t>
      </w:r>
      <w:r w:rsidR="00FC2AC1" w:rsidRPr="007800ED">
        <w:t xml:space="preserve">: </w:t>
      </w:r>
      <w:r w:rsidR="00EB5BD1" w:rsidRPr="007800ED">
        <w:t xml:space="preserve">Research articles relevant to </w:t>
      </w:r>
      <w:r w:rsidR="00A077A4" w:rsidRPr="007800ED">
        <w:t>c</w:t>
      </w:r>
      <w:r w:rsidR="00EB5BD1" w:rsidRPr="007800ED">
        <w:t>hildren from culturally and linguistically diverse backgrounds.</w:t>
      </w:r>
    </w:p>
    <w:tbl>
      <w:tblPr>
        <w:tblW w:w="8320" w:type="dxa"/>
        <w:tblLook w:val="04A0" w:firstRow="1" w:lastRow="0" w:firstColumn="1" w:lastColumn="0" w:noHBand="0" w:noVBand="1"/>
      </w:tblPr>
      <w:tblGrid>
        <w:gridCol w:w="8320"/>
      </w:tblGrid>
      <w:tr w:rsidR="007800ED" w:rsidRPr="007800ED" w14:paraId="5D26129D" w14:textId="77777777" w:rsidTr="00593296">
        <w:trPr>
          <w:trHeight w:val="728"/>
        </w:trPr>
        <w:tc>
          <w:tcPr>
            <w:tcW w:w="8320" w:type="dxa"/>
            <w:tcBorders>
              <w:top w:val="single" w:sz="4" w:space="0" w:color="auto"/>
              <w:left w:val="single" w:sz="4" w:space="0" w:color="auto"/>
              <w:bottom w:val="single" w:sz="4" w:space="0" w:color="auto"/>
              <w:right w:val="single" w:sz="4" w:space="0" w:color="auto"/>
            </w:tcBorders>
            <w:vAlign w:val="center"/>
          </w:tcPr>
          <w:p w14:paraId="06AE05ED" w14:textId="63891982" w:rsidR="00EE118B" w:rsidRPr="007800ED" w:rsidRDefault="00B24ADA" w:rsidP="00593296">
            <w:hyperlink r:id="rId20" w:history="1">
              <w:r w:rsidRPr="007800ED">
                <w:rPr>
                  <w:rStyle w:val="Hyperlink"/>
                  <w:color w:val="auto"/>
                </w:rPr>
                <w:t>Read the AEDC Research Snapshot Early developmental outcomes of Australian children from diverse language backgrounds at school entry</w:t>
              </w:r>
            </w:hyperlink>
          </w:p>
        </w:tc>
      </w:tr>
      <w:tr w:rsidR="007800ED" w:rsidRPr="007800ED" w14:paraId="64CC46B4" w14:textId="77777777" w:rsidTr="00593296">
        <w:trPr>
          <w:trHeight w:val="728"/>
        </w:trPr>
        <w:tc>
          <w:tcPr>
            <w:tcW w:w="8320" w:type="dxa"/>
            <w:tcBorders>
              <w:top w:val="single" w:sz="4" w:space="0" w:color="auto"/>
              <w:left w:val="single" w:sz="4" w:space="0" w:color="auto"/>
              <w:bottom w:val="single" w:sz="4" w:space="0" w:color="auto"/>
              <w:right w:val="single" w:sz="4" w:space="0" w:color="auto"/>
            </w:tcBorders>
            <w:vAlign w:val="center"/>
            <w:hideMark/>
          </w:tcPr>
          <w:p w14:paraId="2472D7C4" w14:textId="28EB7BDA" w:rsidR="00EB5BD1" w:rsidRPr="007800ED" w:rsidRDefault="00EB5BD1" w:rsidP="00593296">
            <w:pPr>
              <w:rPr>
                <w:lang w:eastAsia="en-AU"/>
              </w:rPr>
            </w:pPr>
            <w:hyperlink r:id="rId21" w:history="1">
              <w:r w:rsidRPr="007800ED">
                <w:rPr>
                  <w:rStyle w:val="Hyperlink"/>
                  <w:rFonts w:eastAsia="Times New Roman" w:cs="Times New Roman"/>
                  <w:color w:val="auto"/>
                  <w:kern w:val="0"/>
                  <w:lang w:eastAsia="en-AU"/>
                  <w14:ligatures w14:val="none"/>
                </w:rPr>
                <w:t>Read the research article The Cognitive Development of Young Dual Language Learners:</w:t>
              </w:r>
              <w:r w:rsidR="00EE118B" w:rsidRPr="007800ED">
                <w:rPr>
                  <w:rStyle w:val="Hyperlink"/>
                  <w:rFonts w:eastAsia="Times New Roman" w:cs="Times New Roman"/>
                  <w:color w:val="auto"/>
                  <w:kern w:val="0"/>
                  <w:lang w:eastAsia="en-AU"/>
                  <w14:ligatures w14:val="none"/>
                </w:rPr>
                <w:t xml:space="preserve"> </w:t>
              </w:r>
              <w:r w:rsidRPr="007800ED">
                <w:rPr>
                  <w:rStyle w:val="Hyperlink"/>
                  <w:rFonts w:eastAsia="Times New Roman" w:cs="Times New Roman"/>
                  <w:color w:val="auto"/>
                  <w:kern w:val="0"/>
                  <w:lang w:eastAsia="en-AU"/>
                  <w14:ligatures w14:val="none"/>
                </w:rPr>
                <w:t>A Critical Review</w:t>
              </w:r>
            </w:hyperlink>
          </w:p>
        </w:tc>
      </w:tr>
      <w:tr w:rsidR="007800ED" w:rsidRPr="007800ED" w14:paraId="128E07FA" w14:textId="77777777" w:rsidTr="00593296">
        <w:trPr>
          <w:trHeight w:val="600"/>
        </w:trPr>
        <w:tc>
          <w:tcPr>
            <w:tcW w:w="8320" w:type="dxa"/>
            <w:tcBorders>
              <w:top w:val="nil"/>
              <w:left w:val="single" w:sz="4" w:space="0" w:color="auto"/>
              <w:bottom w:val="single" w:sz="4" w:space="0" w:color="auto"/>
              <w:right w:val="single" w:sz="4" w:space="0" w:color="auto"/>
            </w:tcBorders>
            <w:vAlign w:val="center"/>
            <w:hideMark/>
          </w:tcPr>
          <w:p w14:paraId="0BC152B1" w14:textId="4C18FEA5" w:rsidR="00EB5BD1" w:rsidRPr="007800ED" w:rsidRDefault="00EB5BD1" w:rsidP="00593296">
            <w:pPr>
              <w:rPr>
                <w:lang w:eastAsia="en-AU"/>
              </w:rPr>
            </w:pPr>
            <w:hyperlink r:id="rId22" w:history="1">
              <w:r w:rsidRPr="007800ED">
                <w:rPr>
                  <w:rStyle w:val="Hyperlink"/>
                  <w:rFonts w:eastAsia="Times New Roman" w:cs="Times New Roman"/>
                  <w:color w:val="auto"/>
                  <w:kern w:val="0"/>
                  <w:lang w:eastAsia="en-AU"/>
                  <w14:ligatures w14:val="none"/>
                </w:rPr>
                <w:t>Read the research article Developmental vulnerability in children from culturally and linguistically diverse backgrounds in Western Australia here</w:t>
              </w:r>
            </w:hyperlink>
          </w:p>
        </w:tc>
      </w:tr>
    </w:tbl>
    <w:p w14:paraId="625C8D98" w14:textId="651B83E5" w:rsidR="001C67F9" w:rsidRPr="007800ED" w:rsidRDefault="00807079" w:rsidP="00913424">
      <w:pPr>
        <w:pStyle w:val="Heading2"/>
        <w:keepNext/>
      </w:pPr>
      <w:r w:rsidRPr="007800ED">
        <w:t>Finding 8</w:t>
      </w:r>
    </w:p>
    <w:p w14:paraId="79DDFF19" w14:textId="7A290776" w:rsidR="00271105" w:rsidRPr="007800ED" w:rsidRDefault="00572608" w:rsidP="00207CA5">
      <w:r w:rsidRPr="007800ED">
        <w:t>Adversities faced</w:t>
      </w:r>
      <w:r w:rsidR="0069178D" w:rsidRPr="007800ED">
        <w:t xml:space="preserve"> </w:t>
      </w:r>
      <w:r w:rsidRPr="007800ED">
        <w:t>by families such</w:t>
      </w:r>
      <w:r w:rsidR="0069178D" w:rsidRPr="007800ED">
        <w:t xml:space="preserve"> </w:t>
      </w:r>
      <w:r w:rsidRPr="007800ED">
        <w:t>as food insecurity,</w:t>
      </w:r>
      <w:r w:rsidR="0069178D" w:rsidRPr="007800ED">
        <w:t xml:space="preserve"> </w:t>
      </w:r>
      <w:r w:rsidRPr="007800ED">
        <w:t>parental wellbeing and</w:t>
      </w:r>
      <w:r w:rsidR="0069178D" w:rsidRPr="007800ED">
        <w:t xml:space="preserve"> </w:t>
      </w:r>
      <w:r w:rsidRPr="007800ED">
        <w:t>barriers to engaging</w:t>
      </w:r>
      <w:r w:rsidR="0069178D" w:rsidRPr="007800ED">
        <w:t xml:space="preserve"> </w:t>
      </w:r>
      <w:r w:rsidRPr="007800ED">
        <w:t>with children are</w:t>
      </w:r>
      <w:r w:rsidR="0069178D" w:rsidRPr="007800ED">
        <w:t xml:space="preserve"> </w:t>
      </w:r>
      <w:r w:rsidRPr="007800ED">
        <w:t>associated with poorer</w:t>
      </w:r>
      <w:r w:rsidR="0069178D" w:rsidRPr="007800ED">
        <w:t xml:space="preserve"> </w:t>
      </w:r>
      <w:r w:rsidRPr="007800ED">
        <w:t>child development</w:t>
      </w:r>
      <w:r w:rsidR="0069178D" w:rsidRPr="007800ED">
        <w:t xml:space="preserve"> </w:t>
      </w:r>
      <w:r w:rsidRPr="007800ED">
        <w:t>outcomes</w:t>
      </w:r>
      <w:r w:rsidR="00EB5BD1" w:rsidRPr="007800ED">
        <w:t xml:space="preserve">. Links to relevant research on these topics can be found in </w:t>
      </w:r>
      <w:r w:rsidR="00707138" w:rsidRPr="007800ED">
        <w:t>T</w:t>
      </w:r>
      <w:r w:rsidR="00EB5BD1" w:rsidRPr="007800ED">
        <w:t xml:space="preserve">able </w:t>
      </w:r>
      <w:r w:rsidR="00913424" w:rsidRPr="007800ED">
        <w:t>8</w:t>
      </w:r>
      <w:r w:rsidR="00EB5BD1" w:rsidRPr="007800ED">
        <w:t>.</w:t>
      </w:r>
    </w:p>
    <w:p w14:paraId="785FD737" w14:textId="6D534283" w:rsidR="00EB5BD1" w:rsidRPr="007800ED" w:rsidRDefault="000E770B" w:rsidP="00207CA5">
      <w:r w:rsidRPr="007800ED">
        <w:t xml:space="preserve">Table </w:t>
      </w:r>
      <w:r w:rsidR="00807079" w:rsidRPr="007800ED">
        <w:t>8</w:t>
      </w:r>
      <w:r w:rsidR="00FC2AC1" w:rsidRPr="007800ED">
        <w:t>:</w:t>
      </w:r>
      <w:r w:rsidRPr="007800ED">
        <w:t xml:space="preserve"> </w:t>
      </w:r>
      <w:r w:rsidR="00EB5BD1" w:rsidRPr="007800ED">
        <w:t>Research articles relevant to food insecurity, parenting wellbeing and barriers to engaging with children.</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7800ED" w:rsidRPr="007800ED" w14:paraId="65367B2D" w14:textId="77777777" w:rsidTr="00593296">
        <w:trPr>
          <w:trHeight w:val="600"/>
        </w:trPr>
        <w:tc>
          <w:tcPr>
            <w:tcW w:w="8642" w:type="dxa"/>
            <w:vAlign w:val="center"/>
            <w:hideMark/>
          </w:tcPr>
          <w:p w14:paraId="69B1CDF1" w14:textId="639B1040" w:rsidR="00EB5BD1" w:rsidRPr="007800ED" w:rsidRDefault="00EB5BD1" w:rsidP="00593296">
            <w:pPr>
              <w:rPr>
                <w:lang w:eastAsia="en-AU"/>
              </w:rPr>
            </w:pPr>
            <w:hyperlink r:id="rId23" w:history="1">
              <w:r w:rsidRPr="007800ED">
                <w:rPr>
                  <w:rStyle w:val="Hyperlink"/>
                  <w:rFonts w:eastAsia="Times New Roman" w:cs="Times New Roman"/>
                  <w:color w:val="auto"/>
                  <w:kern w:val="0"/>
                  <w:lang w:eastAsia="en-AU"/>
                  <w14:ligatures w14:val="none"/>
                </w:rPr>
                <w:t>Read the research article The relationship between coming to school hungry and child development: analysis of the Australian Early Development Census here</w:t>
              </w:r>
            </w:hyperlink>
          </w:p>
        </w:tc>
      </w:tr>
      <w:tr w:rsidR="007800ED" w:rsidRPr="007800ED" w14:paraId="54C42FA5" w14:textId="77777777" w:rsidTr="00593296">
        <w:trPr>
          <w:trHeight w:val="900"/>
        </w:trPr>
        <w:tc>
          <w:tcPr>
            <w:tcW w:w="8642" w:type="dxa"/>
            <w:vAlign w:val="center"/>
            <w:hideMark/>
          </w:tcPr>
          <w:p w14:paraId="76206B60" w14:textId="1E49A693" w:rsidR="00EB5BD1" w:rsidRPr="007800ED" w:rsidRDefault="00EB5BD1" w:rsidP="00593296">
            <w:pPr>
              <w:rPr>
                <w:lang w:eastAsia="en-AU"/>
              </w:rPr>
            </w:pPr>
            <w:hyperlink r:id="rId24" w:history="1">
              <w:r w:rsidRPr="007800ED">
                <w:rPr>
                  <w:rStyle w:val="Hyperlink"/>
                  <w:rFonts w:eastAsia="Times New Roman" w:cs="Times New Roman"/>
                  <w:color w:val="auto"/>
                  <w:kern w:val="0"/>
                  <w:lang w:eastAsia="en-AU"/>
                  <w14:ligatures w14:val="none"/>
                </w:rPr>
                <w:t>Read the research article Examining the relationship between maternal mental health-related hospital admissions and childhood developmental vulnerability at school entry in Canada and Australia here</w:t>
              </w:r>
            </w:hyperlink>
          </w:p>
        </w:tc>
      </w:tr>
      <w:tr w:rsidR="007800ED" w:rsidRPr="007800ED" w14:paraId="01FA5159" w14:textId="77777777" w:rsidTr="00593296">
        <w:trPr>
          <w:trHeight w:val="600"/>
        </w:trPr>
        <w:tc>
          <w:tcPr>
            <w:tcW w:w="8642" w:type="dxa"/>
            <w:vAlign w:val="center"/>
            <w:hideMark/>
          </w:tcPr>
          <w:p w14:paraId="0564AAD5" w14:textId="0651B3D4" w:rsidR="00EB5BD1" w:rsidRPr="007800ED" w:rsidRDefault="00EB5BD1" w:rsidP="00593296">
            <w:pPr>
              <w:rPr>
                <w:lang w:eastAsia="en-AU"/>
              </w:rPr>
            </w:pPr>
            <w:hyperlink r:id="rId25" w:history="1">
              <w:r w:rsidRPr="007800ED">
                <w:rPr>
                  <w:rStyle w:val="Hyperlink"/>
                  <w:rFonts w:eastAsia="Times New Roman" w:cs="Times New Roman"/>
                  <w:color w:val="auto"/>
                  <w:kern w:val="0"/>
                  <w:lang w:eastAsia="en-AU"/>
                  <w14:ligatures w14:val="none"/>
                </w:rPr>
                <w:t>Read the research article Conditions of Birth and Early Childhood Developmental Risk for Mental Disorders here</w:t>
              </w:r>
            </w:hyperlink>
          </w:p>
        </w:tc>
      </w:tr>
    </w:tbl>
    <w:p w14:paraId="5FF446F8" w14:textId="6C938E1B" w:rsidR="001C67F9" w:rsidRPr="007800ED" w:rsidRDefault="00807079" w:rsidP="00207CA5">
      <w:pPr>
        <w:pStyle w:val="Heading2"/>
      </w:pPr>
      <w:r w:rsidRPr="007800ED">
        <w:t>Finding 9</w:t>
      </w:r>
    </w:p>
    <w:p w14:paraId="5C6EAF5C" w14:textId="11939D59" w:rsidR="00271105" w:rsidRPr="007800ED" w:rsidRDefault="00572608" w:rsidP="00207CA5">
      <w:r w:rsidRPr="007800ED">
        <w:t>Developmental</w:t>
      </w:r>
      <w:r w:rsidR="0069178D" w:rsidRPr="007800ED">
        <w:t xml:space="preserve"> </w:t>
      </w:r>
      <w:r w:rsidRPr="007800ED">
        <w:t>vulnerability at school</w:t>
      </w:r>
      <w:r w:rsidR="0069178D" w:rsidRPr="007800ED">
        <w:t xml:space="preserve"> </w:t>
      </w:r>
      <w:r w:rsidRPr="007800ED">
        <w:t>entry is associated</w:t>
      </w:r>
      <w:r w:rsidR="0069178D" w:rsidRPr="007800ED">
        <w:t xml:space="preserve"> </w:t>
      </w:r>
      <w:r w:rsidRPr="007800ED">
        <w:t>with the onset of later</w:t>
      </w:r>
      <w:r w:rsidR="0069178D" w:rsidRPr="007800ED">
        <w:t xml:space="preserve"> </w:t>
      </w:r>
      <w:r w:rsidRPr="007800ED">
        <w:t>mental health disorders</w:t>
      </w:r>
      <w:r w:rsidR="0069178D" w:rsidRPr="007800ED">
        <w:t xml:space="preserve"> </w:t>
      </w:r>
      <w:r w:rsidRPr="007800ED">
        <w:t>throughout childhood</w:t>
      </w:r>
      <w:r w:rsidR="0069178D" w:rsidRPr="007800ED">
        <w:t xml:space="preserve"> </w:t>
      </w:r>
      <w:r w:rsidRPr="007800ED">
        <w:t>and adolescence</w:t>
      </w:r>
      <w:r w:rsidR="00917275" w:rsidRPr="007800ED">
        <w:t xml:space="preserve">. Links to relevant research on these topics can be found in </w:t>
      </w:r>
      <w:r w:rsidR="00707138" w:rsidRPr="007800ED">
        <w:t>T</w:t>
      </w:r>
      <w:r w:rsidR="00917275" w:rsidRPr="007800ED">
        <w:t xml:space="preserve">able </w:t>
      </w:r>
      <w:r w:rsidR="00807079" w:rsidRPr="007800ED">
        <w:t>9</w:t>
      </w:r>
      <w:r w:rsidR="00917275" w:rsidRPr="007800ED">
        <w:t xml:space="preserve">. </w:t>
      </w:r>
    </w:p>
    <w:p w14:paraId="51FE6C1D" w14:textId="384D2114" w:rsidR="000E770B" w:rsidRPr="007800ED" w:rsidRDefault="000E770B" w:rsidP="00207CA5">
      <w:r w:rsidRPr="007800ED">
        <w:t xml:space="preserve">Table </w:t>
      </w:r>
      <w:r w:rsidR="00807079" w:rsidRPr="007800ED">
        <w:t>9</w:t>
      </w:r>
      <w:r w:rsidR="00FC2AC1" w:rsidRPr="007800ED">
        <w:t>:</w:t>
      </w:r>
      <w:r w:rsidR="00917275" w:rsidRPr="007800ED">
        <w:t xml:space="preserve"> Research article relevant to </w:t>
      </w:r>
      <w:r w:rsidR="00707138" w:rsidRPr="007800ED">
        <w:t>the relationship between child development</w:t>
      </w:r>
      <w:r w:rsidR="00917275" w:rsidRPr="007800ED">
        <w:t xml:space="preserve"> at school entry</w:t>
      </w:r>
      <w:r w:rsidR="00707138" w:rsidRPr="007800ED">
        <w:t xml:space="preserve"> and later mental health disorders.</w:t>
      </w:r>
    </w:p>
    <w:tbl>
      <w:tblPr>
        <w:tblW w:w="8320" w:type="dxa"/>
        <w:tblLook w:val="04A0" w:firstRow="1" w:lastRow="0" w:firstColumn="1" w:lastColumn="0" w:noHBand="0" w:noVBand="1"/>
      </w:tblPr>
      <w:tblGrid>
        <w:gridCol w:w="8320"/>
      </w:tblGrid>
      <w:tr w:rsidR="007800ED" w:rsidRPr="007800ED" w14:paraId="74BED120" w14:textId="77777777" w:rsidTr="00593296">
        <w:trPr>
          <w:trHeight w:val="600"/>
        </w:trPr>
        <w:tc>
          <w:tcPr>
            <w:tcW w:w="8320" w:type="dxa"/>
            <w:tcBorders>
              <w:top w:val="single" w:sz="4" w:space="0" w:color="auto"/>
              <w:left w:val="single" w:sz="4" w:space="0" w:color="auto"/>
              <w:bottom w:val="single" w:sz="4" w:space="0" w:color="auto"/>
              <w:right w:val="single" w:sz="4" w:space="0" w:color="auto"/>
            </w:tcBorders>
            <w:vAlign w:val="center"/>
            <w:hideMark/>
          </w:tcPr>
          <w:p w14:paraId="29B08A85" w14:textId="6A01D943" w:rsidR="00917275" w:rsidRPr="007800ED" w:rsidRDefault="00917275" w:rsidP="00593296">
            <w:pPr>
              <w:rPr>
                <w:lang w:eastAsia="en-AU"/>
              </w:rPr>
            </w:pPr>
            <w:hyperlink r:id="rId26" w:history="1">
              <w:r w:rsidRPr="007800ED">
                <w:rPr>
                  <w:rStyle w:val="Hyperlink"/>
                  <w:rFonts w:eastAsia="Times New Roman" w:cs="Times New Roman"/>
                  <w:color w:val="auto"/>
                  <w:kern w:val="0"/>
                  <w:lang w:eastAsia="en-AU"/>
                  <w14:ligatures w14:val="none"/>
                </w:rPr>
                <w:t>Read the research article Early developmental risk for subsequent childhood mental disorders in an Australian population cohort here</w:t>
              </w:r>
            </w:hyperlink>
          </w:p>
        </w:tc>
      </w:tr>
    </w:tbl>
    <w:p w14:paraId="6370CD5E" w14:textId="34C00BD7" w:rsidR="00807079" w:rsidRPr="007800ED" w:rsidRDefault="00807079" w:rsidP="00807079">
      <w:pPr>
        <w:pStyle w:val="Heading2"/>
      </w:pPr>
      <w:r w:rsidRPr="007800ED">
        <w:t>Finding 10</w:t>
      </w:r>
    </w:p>
    <w:p w14:paraId="21A23A87" w14:textId="7003BCB2" w:rsidR="000E770B" w:rsidRPr="007800ED" w:rsidRDefault="00572608" w:rsidP="00207CA5">
      <w:r w:rsidRPr="007800ED">
        <w:t>A child’s</w:t>
      </w:r>
      <w:r w:rsidR="0069178D" w:rsidRPr="007800ED">
        <w:t xml:space="preserve"> </w:t>
      </w:r>
      <w:r w:rsidRPr="007800ED">
        <w:t>development when</w:t>
      </w:r>
      <w:r w:rsidR="0069178D" w:rsidRPr="007800ED">
        <w:t xml:space="preserve"> </w:t>
      </w:r>
      <w:r w:rsidRPr="007800ED">
        <w:t>they enter school</w:t>
      </w:r>
      <w:r w:rsidR="0069178D" w:rsidRPr="007800ED">
        <w:t xml:space="preserve"> </w:t>
      </w:r>
      <w:r w:rsidRPr="007800ED">
        <w:t>is strongly linked</w:t>
      </w:r>
      <w:r w:rsidR="0069178D" w:rsidRPr="007800ED">
        <w:t xml:space="preserve"> </w:t>
      </w:r>
      <w:r w:rsidRPr="007800ED">
        <w:t>with their academic</w:t>
      </w:r>
      <w:r w:rsidR="0069178D" w:rsidRPr="007800ED">
        <w:t xml:space="preserve"> </w:t>
      </w:r>
      <w:r w:rsidRPr="007800ED">
        <w:t>and wellbeing</w:t>
      </w:r>
      <w:r w:rsidR="0069178D" w:rsidRPr="007800ED">
        <w:t xml:space="preserve"> </w:t>
      </w:r>
      <w:r w:rsidRPr="007800ED">
        <w:t>outcomes</w:t>
      </w:r>
      <w:r w:rsidR="00917275" w:rsidRPr="007800ED">
        <w:t xml:space="preserve">. </w:t>
      </w:r>
      <w:bookmarkStart w:id="1" w:name="_Hlk207099511"/>
      <w:r w:rsidR="00917275" w:rsidRPr="007800ED">
        <w:t xml:space="preserve">Links to relevant research on these topics </w:t>
      </w:r>
      <w:bookmarkEnd w:id="1"/>
      <w:r w:rsidR="00917275" w:rsidRPr="007800ED">
        <w:t xml:space="preserve">can be found in </w:t>
      </w:r>
      <w:r w:rsidR="00707138" w:rsidRPr="007800ED">
        <w:t>T</w:t>
      </w:r>
      <w:r w:rsidR="00917275" w:rsidRPr="007800ED">
        <w:t xml:space="preserve">able </w:t>
      </w:r>
      <w:r w:rsidR="00E94F64" w:rsidRPr="007800ED">
        <w:t>1</w:t>
      </w:r>
      <w:r w:rsidR="00807079" w:rsidRPr="007800ED">
        <w:t>0</w:t>
      </w:r>
      <w:r w:rsidR="00917275" w:rsidRPr="007800ED">
        <w:t>.</w:t>
      </w:r>
    </w:p>
    <w:p w14:paraId="36DDE127" w14:textId="535B3068" w:rsidR="00917275" w:rsidRPr="007800ED" w:rsidRDefault="000E770B" w:rsidP="00207CA5">
      <w:r w:rsidRPr="007800ED">
        <w:t xml:space="preserve">Table </w:t>
      </w:r>
      <w:r w:rsidR="00E94F64" w:rsidRPr="007800ED">
        <w:t>1</w:t>
      </w:r>
      <w:r w:rsidR="00807079" w:rsidRPr="007800ED">
        <w:t>0</w:t>
      </w:r>
      <w:r w:rsidR="00FC2AC1" w:rsidRPr="007800ED">
        <w:t>:</w:t>
      </w:r>
      <w:r w:rsidRPr="007800ED">
        <w:t xml:space="preserve"> </w:t>
      </w:r>
      <w:r w:rsidR="00917275" w:rsidRPr="007800ED">
        <w:t xml:space="preserve">Research article relevant to the relationship between child development and </w:t>
      </w:r>
      <w:r w:rsidR="00707138" w:rsidRPr="007800ED">
        <w:t xml:space="preserve">later </w:t>
      </w:r>
      <w:r w:rsidR="00917275" w:rsidRPr="007800ED">
        <w:t>academic and wellbeing outcomes.</w:t>
      </w:r>
    </w:p>
    <w:tbl>
      <w:tblPr>
        <w:tblW w:w="8320" w:type="dxa"/>
        <w:tblLook w:val="04A0" w:firstRow="1" w:lastRow="0" w:firstColumn="1" w:lastColumn="0" w:noHBand="0" w:noVBand="1"/>
      </w:tblPr>
      <w:tblGrid>
        <w:gridCol w:w="8320"/>
      </w:tblGrid>
      <w:tr w:rsidR="007800ED" w:rsidRPr="007800ED" w14:paraId="7AEF61E0" w14:textId="77777777" w:rsidTr="00593296">
        <w:trPr>
          <w:trHeight w:val="600"/>
        </w:trPr>
        <w:tc>
          <w:tcPr>
            <w:tcW w:w="8320" w:type="dxa"/>
            <w:tcBorders>
              <w:top w:val="single" w:sz="4" w:space="0" w:color="auto"/>
              <w:left w:val="single" w:sz="4" w:space="0" w:color="auto"/>
              <w:bottom w:val="single" w:sz="4" w:space="0" w:color="auto"/>
              <w:right w:val="single" w:sz="4" w:space="0" w:color="auto"/>
            </w:tcBorders>
            <w:vAlign w:val="center"/>
            <w:hideMark/>
          </w:tcPr>
          <w:p w14:paraId="791377FF" w14:textId="1CF9CCAA" w:rsidR="00917275" w:rsidRPr="007800ED" w:rsidRDefault="00917275" w:rsidP="00593296">
            <w:pPr>
              <w:rPr>
                <w:rFonts w:eastAsia="Times New Roman" w:cs="Times New Roman"/>
                <w:kern w:val="0"/>
                <w:lang w:eastAsia="en-AU"/>
                <w14:ligatures w14:val="none"/>
              </w:rPr>
            </w:pPr>
            <w:hyperlink r:id="rId27" w:history="1">
              <w:r w:rsidRPr="007800ED">
                <w:rPr>
                  <w:rStyle w:val="Hyperlink"/>
                  <w:rFonts w:eastAsia="Times New Roman" w:cs="Times New Roman"/>
                  <w:color w:val="auto"/>
                  <w:kern w:val="0"/>
                  <w:lang w:eastAsia="en-AU"/>
                  <w14:ligatures w14:val="none"/>
                </w:rPr>
                <w:t xml:space="preserve">Read </w:t>
              </w:r>
              <w:r w:rsidR="00EE118B" w:rsidRPr="007800ED">
                <w:rPr>
                  <w:rStyle w:val="Hyperlink"/>
                  <w:rFonts w:eastAsia="Times New Roman" w:cs="Times New Roman"/>
                  <w:color w:val="auto"/>
                  <w:kern w:val="0"/>
                  <w:lang w:eastAsia="en-AU"/>
                  <w14:ligatures w14:val="none"/>
                </w:rPr>
                <w:t xml:space="preserve">the AEDC Research Snapshot </w:t>
              </w:r>
              <w:r w:rsidRPr="007800ED">
                <w:rPr>
                  <w:rStyle w:val="Hyperlink"/>
                  <w:rFonts w:eastAsia="Times New Roman" w:cs="Times New Roman"/>
                  <w:color w:val="auto"/>
                  <w:kern w:val="0"/>
                  <w:lang w:eastAsia="en-AU"/>
                  <w14:ligatures w14:val="none"/>
                </w:rPr>
                <w:t>about The predictive validity of the Early Development Instrument (EDI): Predicting later cognitive and behavioural outcomes here</w:t>
              </w:r>
            </w:hyperlink>
          </w:p>
        </w:tc>
      </w:tr>
      <w:tr w:rsidR="007800ED" w:rsidRPr="007800ED" w14:paraId="595BF060" w14:textId="77777777" w:rsidTr="00593296">
        <w:trPr>
          <w:trHeight w:val="600"/>
        </w:trPr>
        <w:tc>
          <w:tcPr>
            <w:tcW w:w="8320" w:type="dxa"/>
            <w:tcBorders>
              <w:top w:val="single" w:sz="4" w:space="0" w:color="auto"/>
              <w:left w:val="single" w:sz="4" w:space="0" w:color="auto"/>
              <w:bottom w:val="single" w:sz="4" w:space="0" w:color="auto"/>
              <w:right w:val="single" w:sz="4" w:space="0" w:color="auto"/>
            </w:tcBorders>
            <w:vAlign w:val="center"/>
          </w:tcPr>
          <w:p w14:paraId="18C85B1C" w14:textId="58B3E104" w:rsidR="00A84A52" w:rsidRPr="007800ED" w:rsidRDefault="00A84A52" w:rsidP="00593296">
            <w:hyperlink r:id="rId28" w:history="1">
              <w:r w:rsidRPr="007800ED">
                <w:rPr>
                  <w:rStyle w:val="Hyperlink"/>
                  <w:color w:val="auto"/>
                </w:rPr>
                <w:t>Read the research article on Early Childhood Predictors of School Readiness: A multilevel Linked Data Study.</w:t>
              </w:r>
            </w:hyperlink>
          </w:p>
        </w:tc>
      </w:tr>
    </w:tbl>
    <w:p w14:paraId="624939D7" w14:textId="10EEDB38" w:rsidR="005C3569" w:rsidRPr="007800ED" w:rsidRDefault="004A4787" w:rsidP="00207CA5">
      <w:pPr>
        <w:pStyle w:val="Heading1"/>
      </w:pPr>
      <w:r w:rsidRPr="007800ED">
        <w:t xml:space="preserve">Section 3: </w:t>
      </w:r>
      <w:r w:rsidR="00776A00" w:rsidRPr="007800ED">
        <w:t>W</w:t>
      </w:r>
      <w:r w:rsidR="00B17E3F" w:rsidRPr="007800ED">
        <w:t>hat are the Key Gaps</w:t>
      </w:r>
      <w:r w:rsidRPr="007800ED">
        <w:t xml:space="preserve"> in research and </w:t>
      </w:r>
      <w:r w:rsidR="00707138" w:rsidRPr="007800ED">
        <w:t>p</w:t>
      </w:r>
      <w:r w:rsidRPr="007800ED">
        <w:t>olicy?</w:t>
      </w:r>
    </w:p>
    <w:p w14:paraId="0F96D3BE" w14:textId="006B77A3" w:rsidR="004B4269" w:rsidRPr="007800ED" w:rsidRDefault="00F81348" w:rsidP="00807079">
      <w:pPr>
        <w:pStyle w:val="Heading2"/>
        <w:rPr>
          <w:rFonts w:cs="HelveticaNeueLTPro-Bd"/>
        </w:rPr>
      </w:pPr>
      <w:r w:rsidRPr="007800ED">
        <w:t xml:space="preserve">Key </w:t>
      </w:r>
      <w:r w:rsidR="00707138" w:rsidRPr="007800ED">
        <w:t>Gap 1</w:t>
      </w:r>
    </w:p>
    <w:p w14:paraId="0DB06089" w14:textId="77777777" w:rsidR="00707138" w:rsidRPr="007800ED" w:rsidRDefault="005C3569" w:rsidP="00207CA5">
      <w:r w:rsidRPr="007800ED">
        <w:t>More Aboriginal and Torres Strait Islander children grow up in communities facing adversity. This is reflected in persistent inequalities in child development.</w:t>
      </w:r>
      <w:r w:rsidR="00707138" w:rsidRPr="007800ED">
        <w:t xml:space="preserve">  </w:t>
      </w:r>
    </w:p>
    <w:p w14:paraId="3DBAFB23" w14:textId="220B49C2" w:rsidR="005C3569" w:rsidRPr="007800ED" w:rsidRDefault="00707138" w:rsidP="00207CA5">
      <w:r w:rsidRPr="007800ED">
        <w:rPr>
          <w:i/>
          <w:iCs/>
        </w:rPr>
        <w:t>What is needed to address this?</w:t>
      </w:r>
      <w:r w:rsidRPr="007800ED">
        <w:t xml:space="preserve">  I</w:t>
      </w:r>
      <w:r w:rsidR="005C3569" w:rsidRPr="007800ED">
        <w:t>ncrease Indigenous led research in early childhood and fund research to explore local solutions informed by community</w:t>
      </w:r>
      <w:r w:rsidRPr="007800ED">
        <w:t xml:space="preserve">.  </w:t>
      </w:r>
      <w:r w:rsidR="005C3569" w:rsidRPr="007800ED">
        <w:t xml:space="preserve">More information on </w:t>
      </w:r>
      <w:r w:rsidRPr="007800ED">
        <w:t xml:space="preserve">AEDC outcomes for </w:t>
      </w:r>
      <w:r w:rsidR="005C3569" w:rsidRPr="007800ED">
        <w:t xml:space="preserve">Aboriginal and Torres Strait Islander children can be found in </w:t>
      </w:r>
      <w:r w:rsidRPr="007800ED">
        <w:t>T</w:t>
      </w:r>
      <w:r w:rsidR="005C3569" w:rsidRPr="007800ED">
        <w:t xml:space="preserve">able </w:t>
      </w:r>
      <w:r w:rsidR="00E94F64" w:rsidRPr="007800ED">
        <w:t>12</w:t>
      </w:r>
      <w:r w:rsidR="005C3569" w:rsidRPr="007800ED">
        <w:t>.</w:t>
      </w:r>
    </w:p>
    <w:p w14:paraId="25BE00CB" w14:textId="0A6C4D0B" w:rsidR="005C3569" w:rsidRPr="007800ED" w:rsidRDefault="005C3569" w:rsidP="00207CA5">
      <w:pPr>
        <w:rPr>
          <w:rFonts w:cs="HelveticaNeueLTPro-Bd"/>
          <w:b/>
          <w:bCs/>
        </w:rPr>
      </w:pPr>
      <w:r w:rsidRPr="007800ED">
        <w:t xml:space="preserve">Table </w:t>
      </w:r>
      <w:r w:rsidR="00E94F64" w:rsidRPr="007800ED">
        <w:t>12</w:t>
      </w:r>
      <w:r w:rsidR="00FC2AC1" w:rsidRPr="007800ED">
        <w:t>:</w:t>
      </w:r>
      <w:r w:rsidRPr="007800ED">
        <w:t xml:space="preserve"> Closing the Gap information repository.</w:t>
      </w:r>
    </w:p>
    <w:tbl>
      <w:tblPr>
        <w:tblW w:w="8080" w:type="dxa"/>
        <w:tblLook w:val="04A0" w:firstRow="1" w:lastRow="0" w:firstColumn="1" w:lastColumn="0" w:noHBand="0" w:noVBand="1"/>
      </w:tblPr>
      <w:tblGrid>
        <w:gridCol w:w="8080"/>
      </w:tblGrid>
      <w:tr w:rsidR="007800ED" w:rsidRPr="007800ED" w14:paraId="25F073BF" w14:textId="77777777" w:rsidTr="00546DBD">
        <w:trPr>
          <w:trHeight w:val="530"/>
        </w:trPr>
        <w:tc>
          <w:tcPr>
            <w:tcW w:w="8080" w:type="dxa"/>
            <w:tcBorders>
              <w:top w:val="single" w:sz="4" w:space="0" w:color="auto"/>
              <w:left w:val="single" w:sz="4" w:space="0" w:color="auto"/>
              <w:bottom w:val="single" w:sz="4" w:space="0" w:color="auto"/>
              <w:right w:val="single" w:sz="4" w:space="0" w:color="auto"/>
            </w:tcBorders>
            <w:vAlign w:val="center"/>
            <w:hideMark/>
          </w:tcPr>
          <w:p w14:paraId="1891A194" w14:textId="40ABF440" w:rsidR="00546DBD" w:rsidRPr="007800ED" w:rsidRDefault="000A2E4A" w:rsidP="00207CA5">
            <w:pPr>
              <w:rPr>
                <w:lang w:eastAsia="en-AU"/>
              </w:rPr>
            </w:pPr>
            <w:hyperlink r:id="rId29" w:history="1">
              <w:r w:rsidRPr="007800ED">
                <w:rPr>
                  <w:rStyle w:val="Hyperlink"/>
                  <w:rFonts w:eastAsia="Times New Roman" w:cs="Arial"/>
                  <w:color w:val="auto"/>
                  <w:kern w:val="0"/>
                  <w:lang w:eastAsia="en-AU"/>
                  <w14:ligatures w14:val="none"/>
                </w:rPr>
                <w:t xml:space="preserve">Read the closing the gap resource </w:t>
              </w:r>
              <w:r w:rsidR="00546DBD" w:rsidRPr="007800ED">
                <w:rPr>
                  <w:rStyle w:val="Hyperlink"/>
                  <w:rFonts w:eastAsia="Times New Roman" w:cs="Arial"/>
                  <w:color w:val="auto"/>
                  <w:kern w:val="0"/>
                  <w:lang w:eastAsia="en-AU"/>
                  <w14:ligatures w14:val="none"/>
                </w:rPr>
                <w:t>Aboriginal and Torres Strait Islander children thrive in their early years</w:t>
              </w:r>
              <w:r w:rsidRPr="007800ED">
                <w:rPr>
                  <w:rStyle w:val="Hyperlink"/>
                  <w:rFonts w:eastAsia="Times New Roman" w:cs="Arial"/>
                  <w:color w:val="auto"/>
                  <w:kern w:val="0"/>
                  <w:lang w:eastAsia="en-AU"/>
                  <w14:ligatures w14:val="none"/>
                </w:rPr>
                <w:t xml:space="preserve"> here</w:t>
              </w:r>
            </w:hyperlink>
          </w:p>
        </w:tc>
      </w:tr>
    </w:tbl>
    <w:p w14:paraId="2C6A4D55" w14:textId="45F2CFA3" w:rsidR="004B4269" w:rsidRPr="007800ED" w:rsidRDefault="00F81348" w:rsidP="00207CA5">
      <w:pPr>
        <w:pStyle w:val="Heading2"/>
      </w:pPr>
      <w:r w:rsidRPr="007800ED">
        <w:t xml:space="preserve">Key </w:t>
      </w:r>
      <w:r w:rsidR="00707138" w:rsidRPr="007800ED">
        <w:t>Gap 2</w:t>
      </w:r>
    </w:p>
    <w:p w14:paraId="718BA542" w14:textId="36D11C46" w:rsidR="005C3569" w:rsidRPr="007800ED" w:rsidRDefault="005C3569" w:rsidP="00207CA5">
      <w:r w:rsidRPr="007800ED">
        <w:t>In 2024, 20.5% of children started school with undiagnosed health and development needs, up from 10.7% in 2009. Research has shown this is associated with poorer school outcomes.</w:t>
      </w:r>
      <w:r w:rsidR="00707138" w:rsidRPr="007800ED">
        <w:t xml:space="preserve"> </w:t>
      </w:r>
    </w:p>
    <w:p w14:paraId="7E6DD944" w14:textId="5701DE81" w:rsidR="005C3569" w:rsidRPr="007800ED" w:rsidRDefault="000A2E4A" w:rsidP="00207CA5">
      <w:r w:rsidRPr="007800ED">
        <w:rPr>
          <w:i/>
          <w:iCs/>
        </w:rPr>
        <w:t>What is needed to address this</w:t>
      </w:r>
      <w:r w:rsidR="00707138" w:rsidRPr="007800ED">
        <w:rPr>
          <w:i/>
          <w:iCs/>
        </w:rPr>
        <w:t>?</w:t>
      </w:r>
      <w:r w:rsidR="00707138" w:rsidRPr="007800ED">
        <w:t xml:space="preserve"> </w:t>
      </w:r>
      <w:r w:rsidRPr="007800ED">
        <w:t xml:space="preserve">Investigate increasing trends to better inform screening and early intervention prior to school. </w:t>
      </w:r>
      <w:r w:rsidR="00E015D3" w:rsidRPr="007800ED">
        <w:t xml:space="preserve"> More information on undiagnosed health and development needs can be found in </w:t>
      </w:r>
      <w:r w:rsidR="00707138" w:rsidRPr="007800ED">
        <w:t>T</w:t>
      </w:r>
      <w:r w:rsidR="00E015D3" w:rsidRPr="007800ED">
        <w:t xml:space="preserve">able </w:t>
      </w:r>
      <w:r w:rsidR="00E94F64" w:rsidRPr="007800ED">
        <w:t>13</w:t>
      </w:r>
      <w:r w:rsidR="00E015D3" w:rsidRPr="007800ED">
        <w:t>.</w:t>
      </w:r>
    </w:p>
    <w:p w14:paraId="34692A44" w14:textId="16E2FD0E" w:rsidR="005C3569" w:rsidRPr="007800ED" w:rsidRDefault="005C3569" w:rsidP="00207CA5">
      <w:r w:rsidRPr="007800ED">
        <w:t xml:space="preserve">Table </w:t>
      </w:r>
      <w:r w:rsidR="00E94F64" w:rsidRPr="007800ED">
        <w:t>13</w:t>
      </w:r>
      <w:r w:rsidR="00FC2AC1" w:rsidRPr="007800ED">
        <w:t>:</w:t>
      </w:r>
      <w:r w:rsidRPr="007800ED">
        <w:t xml:space="preserve"> Research article relevant to</w:t>
      </w:r>
      <w:r w:rsidR="000A2E4A" w:rsidRPr="007800ED">
        <w:t xml:space="preserve"> </w:t>
      </w:r>
      <w:r w:rsidR="00707138" w:rsidRPr="007800ED">
        <w:t xml:space="preserve">additional </w:t>
      </w:r>
      <w:r w:rsidR="000A2E4A" w:rsidRPr="007800ED">
        <w:t>health and development needs of children.</w:t>
      </w:r>
    </w:p>
    <w:tbl>
      <w:tblPr>
        <w:tblW w:w="8080" w:type="dxa"/>
        <w:tblLook w:val="04A0" w:firstRow="1" w:lastRow="0" w:firstColumn="1" w:lastColumn="0" w:noHBand="0" w:noVBand="1"/>
      </w:tblPr>
      <w:tblGrid>
        <w:gridCol w:w="8080"/>
      </w:tblGrid>
      <w:tr w:rsidR="007800ED" w:rsidRPr="007800ED" w14:paraId="4FA5A3F9" w14:textId="77777777" w:rsidTr="00593296">
        <w:trPr>
          <w:trHeight w:val="900"/>
        </w:trPr>
        <w:tc>
          <w:tcPr>
            <w:tcW w:w="8080" w:type="dxa"/>
            <w:tcBorders>
              <w:top w:val="single" w:sz="4" w:space="0" w:color="auto"/>
              <w:left w:val="single" w:sz="4" w:space="0" w:color="auto"/>
              <w:bottom w:val="single" w:sz="4" w:space="0" w:color="auto"/>
              <w:right w:val="single" w:sz="4" w:space="0" w:color="auto"/>
            </w:tcBorders>
            <w:vAlign w:val="center"/>
            <w:hideMark/>
          </w:tcPr>
          <w:p w14:paraId="555C43E6" w14:textId="7F7EF2DE" w:rsidR="00E015D3" w:rsidRPr="007800ED" w:rsidRDefault="00E015D3" w:rsidP="00593296">
            <w:pPr>
              <w:rPr>
                <w:rFonts w:eastAsia="Times New Roman" w:cs="Times New Roman"/>
                <w:kern w:val="0"/>
                <w:lang w:eastAsia="en-AU"/>
                <w14:ligatures w14:val="none"/>
              </w:rPr>
            </w:pPr>
            <w:hyperlink r:id="rId30" w:history="1">
              <w:r w:rsidRPr="007800ED">
                <w:rPr>
                  <w:rStyle w:val="Hyperlink"/>
                  <w:rFonts w:eastAsia="Times New Roman" w:cs="Times New Roman"/>
                  <w:color w:val="auto"/>
                  <w:kern w:val="0"/>
                  <w:lang w:eastAsia="en-AU"/>
                  <w14:ligatures w14:val="none"/>
                </w:rPr>
                <w:t xml:space="preserve">Read the AEDC </w:t>
              </w:r>
              <w:r w:rsidR="002723F2" w:rsidRPr="007800ED">
                <w:rPr>
                  <w:rStyle w:val="Hyperlink"/>
                  <w:rFonts w:eastAsia="Times New Roman" w:cs="Times New Roman"/>
                  <w:color w:val="auto"/>
                  <w:kern w:val="0"/>
                  <w:lang w:eastAsia="en-AU"/>
                  <w14:ligatures w14:val="none"/>
                </w:rPr>
                <w:t>r</w:t>
              </w:r>
              <w:r w:rsidRPr="007800ED">
                <w:rPr>
                  <w:rStyle w:val="Hyperlink"/>
                  <w:rFonts w:eastAsia="Times New Roman" w:cs="Times New Roman"/>
                  <w:color w:val="auto"/>
                  <w:kern w:val="0"/>
                  <w:lang w:eastAsia="en-AU"/>
                  <w14:ligatures w14:val="none"/>
                </w:rPr>
                <w:t xml:space="preserve">esearch </w:t>
              </w:r>
              <w:r w:rsidR="002723F2" w:rsidRPr="007800ED">
                <w:rPr>
                  <w:rStyle w:val="Hyperlink"/>
                  <w:rFonts w:eastAsia="Times New Roman" w:cs="Times New Roman"/>
                  <w:color w:val="auto"/>
                  <w:kern w:val="0"/>
                  <w:lang w:eastAsia="en-AU"/>
                  <w14:ligatures w14:val="none"/>
                </w:rPr>
                <w:t>s</w:t>
              </w:r>
              <w:r w:rsidRPr="007800ED">
                <w:rPr>
                  <w:rStyle w:val="Hyperlink"/>
                  <w:rFonts w:eastAsia="Times New Roman" w:cs="Times New Roman"/>
                  <w:color w:val="auto"/>
                  <w:kern w:val="0"/>
                  <w:lang w:eastAsia="en-AU"/>
                  <w14:ligatures w14:val="none"/>
                </w:rPr>
                <w:t>napshot on Teacher and parent views on children’s additional health and developmental needs: Implications for use of school and community services here</w:t>
              </w:r>
            </w:hyperlink>
          </w:p>
        </w:tc>
      </w:tr>
      <w:tr w:rsidR="007800ED" w:rsidRPr="007800ED" w14:paraId="5E58EDA0" w14:textId="77777777" w:rsidTr="00593296">
        <w:trPr>
          <w:trHeight w:val="600"/>
        </w:trPr>
        <w:tc>
          <w:tcPr>
            <w:tcW w:w="8080" w:type="dxa"/>
            <w:tcBorders>
              <w:top w:val="nil"/>
              <w:left w:val="single" w:sz="4" w:space="0" w:color="auto"/>
              <w:bottom w:val="single" w:sz="4" w:space="0" w:color="auto"/>
              <w:right w:val="single" w:sz="4" w:space="0" w:color="auto"/>
            </w:tcBorders>
            <w:vAlign w:val="center"/>
            <w:hideMark/>
          </w:tcPr>
          <w:p w14:paraId="209063FF" w14:textId="28B6279B" w:rsidR="00E015D3" w:rsidRPr="007800ED" w:rsidRDefault="00E015D3" w:rsidP="00593296">
            <w:pPr>
              <w:rPr>
                <w:lang w:eastAsia="en-AU"/>
              </w:rPr>
            </w:pPr>
            <w:hyperlink r:id="rId31" w:history="1">
              <w:r w:rsidRPr="007800ED">
                <w:rPr>
                  <w:rStyle w:val="Hyperlink"/>
                  <w:rFonts w:eastAsia="Times New Roman" w:cs="Times New Roman"/>
                  <w:color w:val="auto"/>
                  <w:kern w:val="0"/>
                  <w:lang w:eastAsia="en-AU"/>
                  <w14:ligatures w14:val="none"/>
                </w:rPr>
                <w:t>Read the research article on Learning outcomes of children with teacher-identified emerging health and developmental needs here</w:t>
              </w:r>
            </w:hyperlink>
          </w:p>
        </w:tc>
      </w:tr>
    </w:tbl>
    <w:p w14:paraId="7E5F41BB" w14:textId="579E536A" w:rsidR="004B4269" w:rsidRPr="007800ED" w:rsidRDefault="00F81348" w:rsidP="00207CA5">
      <w:pPr>
        <w:pStyle w:val="Heading2"/>
      </w:pPr>
      <w:r w:rsidRPr="007800ED">
        <w:t>Key G</w:t>
      </w:r>
      <w:r w:rsidR="00707138" w:rsidRPr="007800ED">
        <w:t>ap 3</w:t>
      </w:r>
    </w:p>
    <w:p w14:paraId="57350228" w14:textId="1C4E2E9F" w:rsidR="005C3569" w:rsidRPr="007800ED" w:rsidRDefault="005C3569" w:rsidP="00207CA5">
      <w:r w:rsidRPr="007800ED">
        <w:t>Understanding how the quality and amount of early childhood education affect children’s social and emotional development is critical for informing policy and investment.</w:t>
      </w:r>
    </w:p>
    <w:p w14:paraId="7E6A58E1" w14:textId="17D5C072" w:rsidR="005C3569" w:rsidRPr="007800ED" w:rsidRDefault="00E015D3" w:rsidP="00207CA5">
      <w:r w:rsidRPr="007800ED">
        <w:rPr>
          <w:i/>
          <w:iCs/>
        </w:rPr>
        <w:t>What is needed to address this</w:t>
      </w:r>
      <w:r w:rsidR="00707138" w:rsidRPr="007800ED">
        <w:rPr>
          <w:i/>
          <w:iCs/>
        </w:rPr>
        <w:t>?</w:t>
      </w:r>
      <w:r w:rsidRPr="007800ED">
        <w:t xml:space="preserve"> </w:t>
      </w:r>
      <w:r w:rsidR="005C3569" w:rsidRPr="007800ED">
        <w:t xml:space="preserve">Fund research to measure dose, quality and pedagogy for promoting child development. </w:t>
      </w:r>
      <w:r w:rsidRPr="007800ED">
        <w:t xml:space="preserve">More information on </w:t>
      </w:r>
      <w:r w:rsidR="00707138" w:rsidRPr="007800ED">
        <w:t>e</w:t>
      </w:r>
      <w:r w:rsidRPr="007800ED">
        <w:t xml:space="preserve">arly childhood education </w:t>
      </w:r>
      <w:r w:rsidR="00707138" w:rsidRPr="007800ED">
        <w:t xml:space="preserve">and child development </w:t>
      </w:r>
      <w:r w:rsidRPr="007800ED">
        <w:t xml:space="preserve">can be found in </w:t>
      </w:r>
      <w:r w:rsidR="00707138" w:rsidRPr="007800ED">
        <w:t>T</w:t>
      </w:r>
      <w:r w:rsidRPr="007800ED">
        <w:t xml:space="preserve">able </w:t>
      </w:r>
      <w:r w:rsidR="00E94F64" w:rsidRPr="007800ED">
        <w:t>14</w:t>
      </w:r>
      <w:r w:rsidRPr="007800ED">
        <w:t>.</w:t>
      </w:r>
    </w:p>
    <w:p w14:paraId="50E0B8DB" w14:textId="7BC8B3F7" w:rsidR="005C3569" w:rsidRPr="007800ED" w:rsidRDefault="005C3569" w:rsidP="00207CA5">
      <w:r w:rsidRPr="007800ED">
        <w:t xml:space="preserve">Table </w:t>
      </w:r>
      <w:r w:rsidR="00E94F64" w:rsidRPr="007800ED">
        <w:t>1</w:t>
      </w:r>
      <w:r w:rsidR="00913424" w:rsidRPr="007800ED">
        <w:t>4</w:t>
      </w:r>
      <w:r w:rsidR="00FC2AC1" w:rsidRPr="007800ED">
        <w:t>:</w:t>
      </w:r>
      <w:r w:rsidRPr="007800ED">
        <w:t xml:space="preserve"> Research article relevant to</w:t>
      </w:r>
      <w:r w:rsidR="006A1C93" w:rsidRPr="007800ED">
        <w:t xml:space="preserve"> early childhood education</w:t>
      </w:r>
      <w:r w:rsidR="00707138" w:rsidRPr="007800ED">
        <w:t xml:space="preserve"> and child development.</w:t>
      </w:r>
    </w:p>
    <w:tbl>
      <w:tblPr>
        <w:tblW w:w="8080" w:type="dxa"/>
        <w:tblLook w:val="04A0" w:firstRow="1" w:lastRow="0" w:firstColumn="1" w:lastColumn="0" w:noHBand="0" w:noVBand="1"/>
      </w:tblPr>
      <w:tblGrid>
        <w:gridCol w:w="8080"/>
      </w:tblGrid>
      <w:tr w:rsidR="007800ED" w:rsidRPr="007800ED" w14:paraId="5104A1B2" w14:textId="77777777" w:rsidTr="00593296">
        <w:trPr>
          <w:trHeight w:val="300"/>
        </w:trPr>
        <w:tc>
          <w:tcPr>
            <w:tcW w:w="8080" w:type="dxa"/>
            <w:tcBorders>
              <w:top w:val="single" w:sz="4" w:space="0" w:color="auto"/>
              <w:left w:val="single" w:sz="4" w:space="0" w:color="auto"/>
              <w:bottom w:val="single" w:sz="4" w:space="0" w:color="auto"/>
              <w:right w:val="single" w:sz="4" w:space="0" w:color="auto"/>
            </w:tcBorders>
            <w:noWrap/>
            <w:vAlign w:val="center"/>
            <w:hideMark/>
          </w:tcPr>
          <w:p w14:paraId="68C46286" w14:textId="54EDE9B6" w:rsidR="006A1C93" w:rsidRPr="007800ED" w:rsidRDefault="00D94D00" w:rsidP="00593296">
            <w:pPr>
              <w:rPr>
                <w:rFonts w:eastAsia="Times New Roman" w:cs="Times New Roman"/>
                <w:kern w:val="0"/>
                <w:lang w:eastAsia="en-AU"/>
                <w14:ligatures w14:val="none"/>
              </w:rPr>
            </w:pPr>
            <w:hyperlink r:id="rId32" w:history="1">
              <w:r w:rsidRPr="007800ED">
                <w:rPr>
                  <w:rStyle w:val="Hyperlink"/>
                  <w:rFonts w:eastAsia="Times New Roman" w:cs="Times New Roman"/>
                  <w:color w:val="auto"/>
                  <w:kern w:val="0"/>
                  <w:lang w:eastAsia="en-AU"/>
                  <w14:ligatures w14:val="none"/>
                </w:rPr>
                <w:t xml:space="preserve">Read the research article on the </w:t>
              </w:r>
              <w:r w:rsidR="006A1C93" w:rsidRPr="007800ED">
                <w:rPr>
                  <w:rStyle w:val="Hyperlink"/>
                  <w:rFonts w:eastAsia="Times New Roman" w:cs="Times New Roman"/>
                  <w:color w:val="auto"/>
                  <w:kern w:val="0"/>
                  <w:lang w:eastAsia="en-AU"/>
                  <w14:ligatures w14:val="none"/>
                </w:rPr>
                <w:t>Link between participation in Early Childhood Education and Care and Australian Early Development Census domain indicators using The First Five Years Project data</w:t>
              </w:r>
              <w:r w:rsidRPr="007800ED">
                <w:rPr>
                  <w:rStyle w:val="Hyperlink"/>
                  <w:rFonts w:eastAsia="Times New Roman" w:cs="Times New Roman"/>
                  <w:color w:val="auto"/>
                  <w:kern w:val="0"/>
                  <w:lang w:eastAsia="en-AU"/>
                  <w14:ligatures w14:val="none"/>
                </w:rPr>
                <w:t xml:space="preserve"> here</w:t>
              </w:r>
            </w:hyperlink>
          </w:p>
        </w:tc>
      </w:tr>
    </w:tbl>
    <w:p w14:paraId="74B396D3" w14:textId="796E4BA3" w:rsidR="005C3569" w:rsidRPr="007800ED" w:rsidRDefault="00F81348" w:rsidP="00207CA5">
      <w:pPr>
        <w:pStyle w:val="Heading2"/>
      </w:pPr>
      <w:r w:rsidRPr="007800ED">
        <w:t>Key Gap</w:t>
      </w:r>
      <w:r w:rsidR="00707138" w:rsidRPr="007800ED">
        <w:t xml:space="preserve"> 4</w:t>
      </w:r>
    </w:p>
    <w:p w14:paraId="28AE0F38" w14:textId="77777777" w:rsidR="005C3569" w:rsidRPr="007800ED" w:rsidRDefault="005C3569" w:rsidP="00207CA5">
      <w:r w:rsidRPr="007800ED">
        <w:t xml:space="preserve">Challenges facing families and communities living with socio-economic adversity are reflected in developmental inequities for their children, with no narrowing of this gap over the past decade. </w:t>
      </w:r>
    </w:p>
    <w:p w14:paraId="4AA548DD" w14:textId="7795F123" w:rsidR="005C3569" w:rsidRPr="007800ED" w:rsidRDefault="00D94D00" w:rsidP="00207CA5">
      <w:r w:rsidRPr="007800ED">
        <w:rPr>
          <w:i/>
          <w:iCs/>
        </w:rPr>
        <w:t>What is needed to address this</w:t>
      </w:r>
      <w:r w:rsidR="00F81348" w:rsidRPr="007800ED">
        <w:rPr>
          <w:i/>
          <w:iCs/>
        </w:rPr>
        <w:t>?</w:t>
      </w:r>
      <w:r w:rsidRPr="007800ED">
        <w:t xml:space="preserve"> </w:t>
      </w:r>
      <w:r w:rsidR="005C3569" w:rsidRPr="007800ED">
        <w:t xml:space="preserve">Polices need to be shaped to reduce inequalities while providing the right mix of universal and targeted services to support all families. </w:t>
      </w:r>
      <w:r w:rsidR="0082068D" w:rsidRPr="007800ED">
        <w:t xml:space="preserve">More information on the challenges faced by families and communities </w:t>
      </w:r>
      <w:r w:rsidR="00F81348" w:rsidRPr="007800ED">
        <w:t xml:space="preserve">living with </w:t>
      </w:r>
      <w:r w:rsidR="0082068D" w:rsidRPr="007800ED">
        <w:t xml:space="preserve">socio-economic </w:t>
      </w:r>
      <w:r w:rsidR="00F81348" w:rsidRPr="007800ED">
        <w:t>adversity</w:t>
      </w:r>
      <w:r w:rsidR="0082068D" w:rsidRPr="007800ED">
        <w:t xml:space="preserve"> in </w:t>
      </w:r>
      <w:r w:rsidR="00F81348" w:rsidRPr="007800ED">
        <w:t>T</w:t>
      </w:r>
      <w:r w:rsidR="0082068D" w:rsidRPr="007800ED">
        <w:t xml:space="preserve">able </w:t>
      </w:r>
      <w:r w:rsidR="00B17E3F" w:rsidRPr="007800ED">
        <w:t>15</w:t>
      </w:r>
      <w:r w:rsidR="0082068D" w:rsidRPr="007800ED">
        <w:t>.</w:t>
      </w:r>
    </w:p>
    <w:p w14:paraId="66715E3B" w14:textId="2E49F55B" w:rsidR="005C3569" w:rsidRPr="007800ED" w:rsidRDefault="005C3569" w:rsidP="00207CA5">
      <w:r w:rsidRPr="007800ED">
        <w:t xml:space="preserve">Table </w:t>
      </w:r>
      <w:r w:rsidR="00B17E3F" w:rsidRPr="007800ED">
        <w:t>15</w:t>
      </w:r>
      <w:r w:rsidR="00FC2AC1" w:rsidRPr="007800ED">
        <w:t>:</w:t>
      </w:r>
      <w:r w:rsidRPr="007800ED">
        <w:t xml:space="preserve"> Research article relevant to</w:t>
      </w:r>
      <w:r w:rsidR="0082068D" w:rsidRPr="007800ED">
        <w:t xml:space="preserve"> the challenges faced by families and communities in socio-economic adverse areas.</w:t>
      </w:r>
    </w:p>
    <w:tbl>
      <w:tblPr>
        <w:tblW w:w="8451" w:type="dxa"/>
        <w:tblLook w:val="04A0" w:firstRow="1" w:lastRow="0" w:firstColumn="1" w:lastColumn="0" w:noHBand="0" w:noVBand="1"/>
      </w:tblPr>
      <w:tblGrid>
        <w:gridCol w:w="8451"/>
      </w:tblGrid>
      <w:tr w:rsidR="007800ED" w:rsidRPr="007800ED" w14:paraId="369D51AB" w14:textId="77777777" w:rsidTr="00593296">
        <w:trPr>
          <w:trHeight w:val="300"/>
        </w:trPr>
        <w:tc>
          <w:tcPr>
            <w:tcW w:w="8451" w:type="dxa"/>
            <w:tcBorders>
              <w:top w:val="single" w:sz="4" w:space="0" w:color="auto"/>
              <w:left w:val="single" w:sz="4" w:space="0" w:color="auto"/>
              <w:bottom w:val="single" w:sz="4" w:space="0" w:color="auto"/>
              <w:right w:val="single" w:sz="4" w:space="0" w:color="auto"/>
            </w:tcBorders>
            <w:noWrap/>
            <w:vAlign w:val="center"/>
            <w:hideMark/>
          </w:tcPr>
          <w:p w14:paraId="450A48F2" w14:textId="4F3B76A5" w:rsidR="00D94D00" w:rsidRPr="007800ED" w:rsidRDefault="0082068D" w:rsidP="00593296">
            <w:pPr>
              <w:rPr>
                <w:rFonts w:eastAsia="Times New Roman" w:cs="Times New Roman"/>
                <w:kern w:val="0"/>
                <w:lang w:eastAsia="en-AU"/>
                <w14:ligatures w14:val="none"/>
              </w:rPr>
            </w:pPr>
            <w:hyperlink r:id="rId33" w:history="1">
              <w:r w:rsidRPr="007800ED">
                <w:rPr>
                  <w:rStyle w:val="Hyperlink"/>
                  <w:rFonts w:eastAsia="Times New Roman" w:cs="Times New Roman"/>
                  <w:color w:val="auto"/>
                  <w:kern w:val="0"/>
                  <w:lang w:eastAsia="en-AU"/>
                  <w14:ligatures w14:val="none"/>
                </w:rPr>
                <w:t xml:space="preserve">Read the AEDC </w:t>
              </w:r>
              <w:r w:rsidR="002723F2" w:rsidRPr="007800ED">
                <w:rPr>
                  <w:rStyle w:val="Hyperlink"/>
                  <w:rFonts w:eastAsia="Times New Roman" w:cs="Times New Roman"/>
                  <w:color w:val="auto"/>
                  <w:kern w:val="0"/>
                  <w:lang w:eastAsia="en-AU"/>
                  <w14:ligatures w14:val="none"/>
                </w:rPr>
                <w:t>data story</w:t>
              </w:r>
              <w:r w:rsidRPr="007800ED">
                <w:rPr>
                  <w:rStyle w:val="Hyperlink"/>
                  <w:rFonts w:eastAsia="Times New Roman" w:cs="Times New Roman"/>
                  <w:color w:val="auto"/>
                  <w:kern w:val="0"/>
                  <w:lang w:eastAsia="en-AU"/>
                  <w14:ligatures w14:val="none"/>
                </w:rPr>
                <w:t xml:space="preserve"> </w:t>
              </w:r>
              <w:r w:rsidR="00D94D00" w:rsidRPr="007800ED">
                <w:rPr>
                  <w:rStyle w:val="Hyperlink"/>
                  <w:rFonts w:eastAsia="Times New Roman" w:cs="Times New Roman"/>
                  <w:color w:val="auto"/>
                  <w:kern w:val="0"/>
                  <w:lang w:eastAsia="en-AU"/>
                  <w14:ligatures w14:val="none"/>
                </w:rPr>
                <w:t xml:space="preserve">How Can We Improve Equity in Early Childhood?  AEDC 2021 </w:t>
              </w:r>
              <w:r w:rsidRPr="007800ED">
                <w:rPr>
                  <w:rStyle w:val="Hyperlink"/>
                  <w:rFonts w:eastAsia="Times New Roman" w:cs="Times New Roman"/>
                  <w:color w:val="auto"/>
                  <w:kern w:val="0"/>
                  <w:lang w:eastAsia="en-AU"/>
                  <w14:ligatures w14:val="none"/>
                </w:rPr>
                <w:t>here</w:t>
              </w:r>
            </w:hyperlink>
          </w:p>
        </w:tc>
      </w:tr>
    </w:tbl>
    <w:p w14:paraId="1CC01BF8" w14:textId="138583C8" w:rsidR="004B4269" w:rsidRPr="007800ED" w:rsidRDefault="00F81348" w:rsidP="00207CA5">
      <w:pPr>
        <w:pStyle w:val="Heading2"/>
      </w:pPr>
      <w:r w:rsidRPr="007800ED">
        <w:t>Key Gap 5</w:t>
      </w:r>
    </w:p>
    <w:p w14:paraId="098FF086" w14:textId="279F139C" w:rsidR="005C3569" w:rsidRPr="007800ED" w:rsidRDefault="005C3569" w:rsidP="00207CA5">
      <w:r w:rsidRPr="007800ED">
        <w:t xml:space="preserve">Children who started school in 2024 experienced the full effects of the pandemic and economic pressures facing families, and developmental outcomes for this cohort are poorer than for any cohort since 2009. </w:t>
      </w:r>
    </w:p>
    <w:p w14:paraId="2B06FAE2" w14:textId="39EF2DAA" w:rsidR="005C3569" w:rsidRPr="007800ED" w:rsidRDefault="00D94D00" w:rsidP="00207CA5">
      <w:r w:rsidRPr="007800ED">
        <w:rPr>
          <w:i/>
          <w:iCs/>
        </w:rPr>
        <w:lastRenderedPageBreak/>
        <w:t>What is needed to address this</w:t>
      </w:r>
      <w:r w:rsidR="00F81348" w:rsidRPr="007800ED">
        <w:t>?</w:t>
      </w:r>
      <w:r w:rsidRPr="007800ED">
        <w:t xml:space="preserve"> </w:t>
      </w:r>
      <w:r w:rsidR="005C3569" w:rsidRPr="007800ED">
        <w:t xml:space="preserve">Supports for families during children’s early life are crucial to protect children at the local and global level. </w:t>
      </w:r>
      <w:r w:rsidR="003D202B" w:rsidRPr="007800ED">
        <w:t xml:space="preserve">More information on the impact of COVID-19 and other hidden vulnerabilities is available in </w:t>
      </w:r>
      <w:r w:rsidR="00F81348" w:rsidRPr="007800ED">
        <w:t>T</w:t>
      </w:r>
      <w:r w:rsidR="003D202B" w:rsidRPr="007800ED">
        <w:t xml:space="preserve">able </w:t>
      </w:r>
      <w:r w:rsidR="00B17E3F" w:rsidRPr="007800ED">
        <w:t>16</w:t>
      </w:r>
      <w:r w:rsidR="00866570" w:rsidRPr="007800ED">
        <w:t>.</w:t>
      </w:r>
    </w:p>
    <w:p w14:paraId="45D38718" w14:textId="5FD4C7FA" w:rsidR="005C3569" w:rsidRPr="007800ED" w:rsidRDefault="005C3569" w:rsidP="00207CA5">
      <w:r w:rsidRPr="007800ED">
        <w:rPr>
          <w:rFonts w:cs="HelveticaNeueLTPro-Lt"/>
        </w:rPr>
        <w:t xml:space="preserve">Table </w:t>
      </w:r>
      <w:r w:rsidR="00B17E3F" w:rsidRPr="007800ED">
        <w:rPr>
          <w:rFonts w:cs="HelveticaNeueLTPro-Lt"/>
        </w:rPr>
        <w:t>16</w:t>
      </w:r>
      <w:r w:rsidR="00FC2AC1" w:rsidRPr="007800ED">
        <w:rPr>
          <w:rFonts w:cs="HelveticaNeueLTPro-Lt"/>
        </w:rPr>
        <w:t>:</w:t>
      </w:r>
      <w:r w:rsidRPr="007800ED">
        <w:rPr>
          <w:rFonts w:cs="HelveticaNeueLTPro-Lt"/>
        </w:rPr>
        <w:t xml:space="preserve"> Research article relevant to</w:t>
      </w:r>
      <w:r w:rsidR="003D202B" w:rsidRPr="007800ED">
        <w:t xml:space="preserve"> COVID-19</w:t>
      </w:r>
      <w:r w:rsidR="00EE118B" w:rsidRPr="007800ED">
        <w:t>.</w:t>
      </w:r>
    </w:p>
    <w:tbl>
      <w:tblPr>
        <w:tblW w:w="8080" w:type="dxa"/>
        <w:tblLook w:val="04A0" w:firstRow="1" w:lastRow="0" w:firstColumn="1" w:lastColumn="0" w:noHBand="0" w:noVBand="1"/>
      </w:tblPr>
      <w:tblGrid>
        <w:gridCol w:w="8080"/>
      </w:tblGrid>
      <w:tr w:rsidR="007800ED" w:rsidRPr="007800ED" w14:paraId="72ADA8BD" w14:textId="77777777" w:rsidTr="00593296">
        <w:trPr>
          <w:trHeight w:val="300"/>
        </w:trPr>
        <w:tc>
          <w:tcPr>
            <w:tcW w:w="8080" w:type="dxa"/>
            <w:tcBorders>
              <w:top w:val="single" w:sz="4" w:space="0" w:color="auto"/>
              <w:left w:val="single" w:sz="4" w:space="0" w:color="auto"/>
              <w:bottom w:val="single" w:sz="4" w:space="0" w:color="auto"/>
              <w:right w:val="single" w:sz="4" w:space="0" w:color="auto"/>
            </w:tcBorders>
            <w:noWrap/>
            <w:vAlign w:val="center"/>
            <w:hideMark/>
          </w:tcPr>
          <w:p w14:paraId="60B3F43D" w14:textId="4438CDDF" w:rsidR="003D202B" w:rsidRPr="007800ED" w:rsidRDefault="003D202B" w:rsidP="00593296">
            <w:pPr>
              <w:rPr>
                <w:rFonts w:eastAsia="Times New Roman" w:cs="Times New Roman"/>
                <w:kern w:val="0"/>
                <w:lang w:eastAsia="en-AU"/>
                <w14:ligatures w14:val="none"/>
              </w:rPr>
            </w:pPr>
            <w:hyperlink r:id="rId34" w:history="1">
              <w:r w:rsidRPr="007800ED">
                <w:rPr>
                  <w:rStyle w:val="Hyperlink"/>
                  <w:rFonts w:eastAsia="Times New Roman" w:cs="Times New Roman"/>
                  <w:color w:val="auto"/>
                  <w:kern w:val="0"/>
                  <w:lang w:eastAsia="en-AU"/>
                  <w14:ligatures w14:val="none"/>
                </w:rPr>
                <w:t>Read the AEDC data story How Has the COVID-19 Pandemic Affected Children: AEDC 2021 Data Story here</w:t>
              </w:r>
            </w:hyperlink>
          </w:p>
        </w:tc>
      </w:tr>
    </w:tbl>
    <w:p w14:paraId="5CE8ED2A" w14:textId="1E405620" w:rsidR="00AC0094" w:rsidRPr="007800ED" w:rsidRDefault="009B3262" w:rsidP="00F81348">
      <w:pPr>
        <w:pStyle w:val="Heading2"/>
      </w:pPr>
      <w:r w:rsidRPr="007800ED">
        <w:t>AEDC Partner</w:t>
      </w:r>
      <w:r w:rsidR="00207CA5" w:rsidRPr="007800ED">
        <w:t xml:space="preserve">ship </w:t>
      </w:r>
      <w:r w:rsidR="00913424" w:rsidRPr="007800ED">
        <w:t>S</w:t>
      </w:r>
      <w:r w:rsidR="00207CA5" w:rsidRPr="007800ED">
        <w:t>tatement</w:t>
      </w:r>
    </w:p>
    <w:p w14:paraId="09B0C4F8" w14:textId="0478EAFD" w:rsidR="00AC0094" w:rsidRPr="007800ED" w:rsidRDefault="00356E0D" w:rsidP="00207CA5">
      <w:r w:rsidRPr="007800ED">
        <w:t>Since 2002, the Australian Government has worked in partnership with eminent child health research institutes, the Centre for Community Child Health at The Royal Children’s Hospital</w:t>
      </w:r>
      <w:r w:rsidR="00B17E3F" w:rsidRPr="007800ED">
        <w:t xml:space="preserve"> </w:t>
      </w:r>
      <w:r w:rsidRPr="007800ED">
        <w:t>and the Murdoch Children’s Research Institute, and The Kids Research Institute Australia to deliver the Australian Early Development Census program to communities nationwide.</w:t>
      </w:r>
      <w:r w:rsidR="00B17E3F" w:rsidRPr="007800ED">
        <w:t xml:space="preserve"> </w:t>
      </w:r>
      <w:r w:rsidRPr="007800ED">
        <w:t>The Australian Government continues to work with its partners, and with state and territory governments to implement the AEDC.</w:t>
      </w:r>
    </w:p>
    <w:sectPr w:rsidR="00AC0094" w:rsidRPr="00780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NeueLT Com 55 Roman">
    <w:altName w:val="Arial"/>
    <w:charset w:val="00"/>
    <w:family w:val="swiss"/>
    <w:pitch w:val="variable"/>
    <w:sig w:usb0="800000AF" w:usb1="10002042" w:usb2="00000000" w:usb3="00000000" w:csb0="0000009B" w:csb1="00000000"/>
  </w:font>
  <w:font w:name="Calibri">
    <w:panose1 w:val="020F0502020204030204"/>
    <w:charset w:val="00"/>
    <w:family w:val="swiss"/>
    <w:pitch w:val="variable"/>
    <w:sig w:usb0="E4002EFF" w:usb1="C000247B" w:usb2="00000009" w:usb3="00000000" w:csb0="000001FF" w:csb1="00000000"/>
  </w:font>
  <w:font w:name="HelveticaNeueLTPro-Bd">
    <w:altName w:val="Arial"/>
    <w:panose1 w:val="00000000000000000000"/>
    <w:charset w:val="00"/>
    <w:family w:val="swiss"/>
    <w:notTrueType/>
    <w:pitch w:val="default"/>
    <w:sig w:usb0="00000003" w:usb1="00000000" w:usb2="00000000" w:usb3="00000000" w:csb0="00000001" w:csb1="00000000"/>
  </w:font>
  <w:font w:name="HelveticaNeueLTPro-L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31AC3"/>
    <w:multiLevelType w:val="hybridMultilevel"/>
    <w:tmpl w:val="B516B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9379D7"/>
    <w:multiLevelType w:val="hybridMultilevel"/>
    <w:tmpl w:val="E782F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380F75"/>
    <w:multiLevelType w:val="hybridMultilevel"/>
    <w:tmpl w:val="536A8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2558B6"/>
    <w:multiLevelType w:val="hybridMultilevel"/>
    <w:tmpl w:val="1F00A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8189736">
    <w:abstractNumId w:val="0"/>
  </w:num>
  <w:num w:numId="2" w16cid:durableId="1052653185">
    <w:abstractNumId w:val="1"/>
  </w:num>
  <w:num w:numId="3" w16cid:durableId="973094797">
    <w:abstractNumId w:val="3"/>
  </w:num>
  <w:num w:numId="4" w16cid:durableId="958025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05"/>
    <w:rsid w:val="00002B3A"/>
    <w:rsid w:val="0001552E"/>
    <w:rsid w:val="000255B5"/>
    <w:rsid w:val="000259C1"/>
    <w:rsid w:val="000354B4"/>
    <w:rsid w:val="00066F9B"/>
    <w:rsid w:val="000A2E4A"/>
    <w:rsid w:val="000A6B61"/>
    <w:rsid w:val="000B37E1"/>
    <w:rsid w:val="000E770B"/>
    <w:rsid w:val="001158F4"/>
    <w:rsid w:val="00140571"/>
    <w:rsid w:val="001B5154"/>
    <w:rsid w:val="001C67F9"/>
    <w:rsid w:val="001F08AA"/>
    <w:rsid w:val="00207CA5"/>
    <w:rsid w:val="00225FC9"/>
    <w:rsid w:val="0025524E"/>
    <w:rsid w:val="002633B6"/>
    <w:rsid w:val="00271105"/>
    <w:rsid w:val="002723F2"/>
    <w:rsid w:val="00291B6C"/>
    <w:rsid w:val="002A5148"/>
    <w:rsid w:val="002B1E79"/>
    <w:rsid w:val="002E3CDC"/>
    <w:rsid w:val="002E7F86"/>
    <w:rsid w:val="002F3DBF"/>
    <w:rsid w:val="003566E1"/>
    <w:rsid w:val="00356E0D"/>
    <w:rsid w:val="003D202B"/>
    <w:rsid w:val="003E7BF7"/>
    <w:rsid w:val="004160AC"/>
    <w:rsid w:val="004A4787"/>
    <w:rsid w:val="004B4269"/>
    <w:rsid w:val="004D777A"/>
    <w:rsid w:val="004F4A56"/>
    <w:rsid w:val="00500A87"/>
    <w:rsid w:val="00511BD8"/>
    <w:rsid w:val="00530E18"/>
    <w:rsid w:val="00537C58"/>
    <w:rsid w:val="00546DBD"/>
    <w:rsid w:val="00572608"/>
    <w:rsid w:val="00593296"/>
    <w:rsid w:val="005C3569"/>
    <w:rsid w:val="005E3678"/>
    <w:rsid w:val="005F16BF"/>
    <w:rsid w:val="00634DE7"/>
    <w:rsid w:val="00634F42"/>
    <w:rsid w:val="0069178D"/>
    <w:rsid w:val="006A1C93"/>
    <w:rsid w:val="00707138"/>
    <w:rsid w:val="00710A2B"/>
    <w:rsid w:val="00756E85"/>
    <w:rsid w:val="00771D91"/>
    <w:rsid w:val="00776A00"/>
    <w:rsid w:val="007800ED"/>
    <w:rsid w:val="00786C0E"/>
    <w:rsid w:val="007A1667"/>
    <w:rsid w:val="007A6E70"/>
    <w:rsid w:val="007B511D"/>
    <w:rsid w:val="0080625F"/>
    <w:rsid w:val="00807079"/>
    <w:rsid w:val="0082068D"/>
    <w:rsid w:val="008359FF"/>
    <w:rsid w:val="00866570"/>
    <w:rsid w:val="00873286"/>
    <w:rsid w:val="00884CE5"/>
    <w:rsid w:val="008C3F31"/>
    <w:rsid w:val="00913424"/>
    <w:rsid w:val="00917275"/>
    <w:rsid w:val="009B3262"/>
    <w:rsid w:val="009C124B"/>
    <w:rsid w:val="009F36E9"/>
    <w:rsid w:val="00A07096"/>
    <w:rsid w:val="00A077A4"/>
    <w:rsid w:val="00A151EA"/>
    <w:rsid w:val="00A52F7D"/>
    <w:rsid w:val="00A55C6C"/>
    <w:rsid w:val="00A84A52"/>
    <w:rsid w:val="00A96FC7"/>
    <w:rsid w:val="00AC0094"/>
    <w:rsid w:val="00AF406F"/>
    <w:rsid w:val="00B06DB1"/>
    <w:rsid w:val="00B17E3F"/>
    <w:rsid w:val="00B24ADA"/>
    <w:rsid w:val="00B72768"/>
    <w:rsid w:val="00BA72A3"/>
    <w:rsid w:val="00C46BDE"/>
    <w:rsid w:val="00CC7C9B"/>
    <w:rsid w:val="00CF762E"/>
    <w:rsid w:val="00D0004C"/>
    <w:rsid w:val="00D94D00"/>
    <w:rsid w:val="00DA22C5"/>
    <w:rsid w:val="00E015D3"/>
    <w:rsid w:val="00E41B40"/>
    <w:rsid w:val="00E569BE"/>
    <w:rsid w:val="00E8260A"/>
    <w:rsid w:val="00E94F64"/>
    <w:rsid w:val="00E96AF7"/>
    <w:rsid w:val="00EA7CEB"/>
    <w:rsid w:val="00EB5BD1"/>
    <w:rsid w:val="00EE118B"/>
    <w:rsid w:val="00F23329"/>
    <w:rsid w:val="00F342C3"/>
    <w:rsid w:val="00F4682B"/>
    <w:rsid w:val="00F81348"/>
    <w:rsid w:val="00F85010"/>
    <w:rsid w:val="00FC2AC1"/>
    <w:rsid w:val="00FD6D28"/>
    <w:rsid w:val="00FE40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2C8EA"/>
  <w15:chartTrackingRefBased/>
  <w15:docId w15:val="{1DA9DD50-E73F-4B05-B7F3-182EE7A2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CA5"/>
    <w:rPr>
      <w:sz w:val="24"/>
      <w:szCs w:val="24"/>
    </w:rPr>
  </w:style>
  <w:style w:type="paragraph" w:styleId="Heading1">
    <w:name w:val="heading 1"/>
    <w:basedOn w:val="Body"/>
    <w:next w:val="Normal"/>
    <w:link w:val="Heading1Char"/>
    <w:uiPriority w:val="9"/>
    <w:qFormat/>
    <w:rsid w:val="00207CA5"/>
    <w:pPr>
      <w:spacing w:before="720"/>
      <w:outlineLvl w:val="0"/>
    </w:pPr>
    <w:rPr>
      <w:rFonts w:asciiTheme="minorHAnsi" w:hAnsiTheme="minorHAnsi"/>
      <w:b/>
      <w:bCs/>
      <w:sz w:val="40"/>
      <w:szCs w:val="40"/>
    </w:rPr>
  </w:style>
  <w:style w:type="paragraph" w:styleId="Heading2">
    <w:name w:val="heading 2"/>
    <w:basedOn w:val="Heading1"/>
    <w:next w:val="Normal"/>
    <w:link w:val="Heading2Char"/>
    <w:uiPriority w:val="9"/>
    <w:unhideWhenUsed/>
    <w:qFormat/>
    <w:rsid w:val="00207CA5"/>
    <w:pPr>
      <w:spacing w:before="480"/>
      <w:outlineLvl w:val="1"/>
    </w:pPr>
    <w:rPr>
      <w:sz w:val="28"/>
      <w:szCs w:val="28"/>
    </w:rPr>
  </w:style>
  <w:style w:type="paragraph" w:styleId="Heading3">
    <w:name w:val="heading 3"/>
    <w:basedOn w:val="Normal"/>
    <w:next w:val="Normal"/>
    <w:link w:val="Heading3Char"/>
    <w:uiPriority w:val="9"/>
    <w:semiHidden/>
    <w:unhideWhenUsed/>
    <w:qFormat/>
    <w:rsid w:val="002711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1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1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1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1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1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1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CA5"/>
    <w:rPr>
      <w:rFonts w:eastAsia="Times New Roman" w:cs="Arial"/>
      <w:b/>
      <w:bCs/>
      <w:kern w:val="0"/>
      <w:sz w:val="40"/>
      <w:szCs w:val="40"/>
      <w:lang w:val="en-US" w:bidi="en-US"/>
      <w14:ligatures w14:val="none"/>
    </w:rPr>
  </w:style>
  <w:style w:type="character" w:customStyle="1" w:styleId="Heading2Char">
    <w:name w:val="Heading 2 Char"/>
    <w:basedOn w:val="DefaultParagraphFont"/>
    <w:link w:val="Heading2"/>
    <w:uiPriority w:val="9"/>
    <w:rsid w:val="00207CA5"/>
    <w:rPr>
      <w:rFonts w:eastAsia="Times New Roman" w:cs="Arial"/>
      <w:b/>
      <w:bCs/>
      <w:kern w:val="0"/>
      <w:sz w:val="28"/>
      <w:szCs w:val="28"/>
      <w:lang w:val="en-US" w:bidi="en-US"/>
      <w14:ligatures w14:val="none"/>
    </w:rPr>
  </w:style>
  <w:style w:type="character" w:customStyle="1" w:styleId="Heading3Char">
    <w:name w:val="Heading 3 Char"/>
    <w:basedOn w:val="DefaultParagraphFont"/>
    <w:link w:val="Heading3"/>
    <w:uiPriority w:val="9"/>
    <w:semiHidden/>
    <w:rsid w:val="002711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1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1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1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1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1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105"/>
    <w:rPr>
      <w:rFonts w:eastAsiaTheme="majorEastAsia" w:cstheme="majorBidi"/>
      <w:color w:val="272727" w:themeColor="text1" w:themeTint="D8"/>
    </w:rPr>
  </w:style>
  <w:style w:type="paragraph" w:styleId="Title">
    <w:name w:val="Title"/>
    <w:basedOn w:val="Normal"/>
    <w:next w:val="Normal"/>
    <w:link w:val="TitleChar"/>
    <w:uiPriority w:val="10"/>
    <w:qFormat/>
    <w:rsid w:val="00271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1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1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1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105"/>
    <w:pPr>
      <w:spacing w:before="160"/>
      <w:jc w:val="center"/>
    </w:pPr>
    <w:rPr>
      <w:i/>
      <w:iCs/>
      <w:color w:val="404040" w:themeColor="text1" w:themeTint="BF"/>
    </w:rPr>
  </w:style>
  <w:style w:type="character" w:customStyle="1" w:styleId="QuoteChar">
    <w:name w:val="Quote Char"/>
    <w:basedOn w:val="DefaultParagraphFont"/>
    <w:link w:val="Quote"/>
    <w:uiPriority w:val="29"/>
    <w:rsid w:val="00271105"/>
    <w:rPr>
      <w:i/>
      <w:iCs/>
      <w:color w:val="404040" w:themeColor="text1" w:themeTint="BF"/>
    </w:rPr>
  </w:style>
  <w:style w:type="paragraph" w:styleId="ListParagraph">
    <w:name w:val="List Paragraph"/>
    <w:basedOn w:val="Normal"/>
    <w:uiPriority w:val="34"/>
    <w:qFormat/>
    <w:rsid w:val="00271105"/>
    <w:pPr>
      <w:ind w:left="720"/>
      <w:contextualSpacing/>
    </w:pPr>
  </w:style>
  <w:style w:type="character" w:styleId="IntenseEmphasis">
    <w:name w:val="Intense Emphasis"/>
    <w:basedOn w:val="DefaultParagraphFont"/>
    <w:uiPriority w:val="21"/>
    <w:qFormat/>
    <w:rsid w:val="00271105"/>
    <w:rPr>
      <w:i/>
      <w:iCs/>
      <w:color w:val="0F4761" w:themeColor="accent1" w:themeShade="BF"/>
    </w:rPr>
  </w:style>
  <w:style w:type="paragraph" w:styleId="IntenseQuote">
    <w:name w:val="Intense Quote"/>
    <w:basedOn w:val="Normal"/>
    <w:next w:val="Normal"/>
    <w:link w:val="IntenseQuoteChar"/>
    <w:uiPriority w:val="30"/>
    <w:qFormat/>
    <w:rsid w:val="00271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105"/>
    <w:rPr>
      <w:i/>
      <w:iCs/>
      <w:color w:val="0F4761" w:themeColor="accent1" w:themeShade="BF"/>
    </w:rPr>
  </w:style>
  <w:style w:type="character" w:styleId="IntenseReference">
    <w:name w:val="Intense Reference"/>
    <w:basedOn w:val="DefaultParagraphFont"/>
    <w:uiPriority w:val="32"/>
    <w:qFormat/>
    <w:rsid w:val="00271105"/>
    <w:rPr>
      <w:b/>
      <w:bCs/>
      <w:smallCaps/>
      <w:color w:val="0F4761" w:themeColor="accent1" w:themeShade="BF"/>
      <w:spacing w:val="5"/>
    </w:rPr>
  </w:style>
  <w:style w:type="character" w:styleId="Hyperlink">
    <w:name w:val="Hyperlink"/>
    <w:basedOn w:val="DefaultParagraphFont"/>
    <w:uiPriority w:val="99"/>
    <w:unhideWhenUsed/>
    <w:rsid w:val="00225FC9"/>
    <w:rPr>
      <w:color w:val="467886" w:themeColor="hyperlink"/>
      <w:u w:val="single"/>
    </w:rPr>
  </w:style>
  <w:style w:type="character" w:styleId="UnresolvedMention">
    <w:name w:val="Unresolved Mention"/>
    <w:basedOn w:val="DefaultParagraphFont"/>
    <w:uiPriority w:val="99"/>
    <w:semiHidden/>
    <w:unhideWhenUsed/>
    <w:rsid w:val="00225FC9"/>
    <w:rPr>
      <w:color w:val="605E5C"/>
      <w:shd w:val="clear" w:color="auto" w:fill="E1DFDD"/>
    </w:rPr>
  </w:style>
  <w:style w:type="character" w:styleId="CommentReference">
    <w:name w:val="annotation reference"/>
    <w:basedOn w:val="DefaultParagraphFont"/>
    <w:uiPriority w:val="99"/>
    <w:semiHidden/>
    <w:unhideWhenUsed/>
    <w:rsid w:val="00E8260A"/>
    <w:rPr>
      <w:sz w:val="16"/>
      <w:szCs w:val="16"/>
    </w:rPr>
  </w:style>
  <w:style w:type="paragraph" w:styleId="CommentText">
    <w:name w:val="annotation text"/>
    <w:basedOn w:val="Normal"/>
    <w:link w:val="CommentTextChar"/>
    <w:uiPriority w:val="99"/>
    <w:unhideWhenUsed/>
    <w:rsid w:val="00E8260A"/>
    <w:pPr>
      <w:spacing w:line="240" w:lineRule="auto"/>
    </w:pPr>
    <w:rPr>
      <w:sz w:val="20"/>
      <w:szCs w:val="20"/>
    </w:rPr>
  </w:style>
  <w:style w:type="character" w:customStyle="1" w:styleId="CommentTextChar">
    <w:name w:val="Comment Text Char"/>
    <w:basedOn w:val="DefaultParagraphFont"/>
    <w:link w:val="CommentText"/>
    <w:uiPriority w:val="99"/>
    <w:rsid w:val="00E8260A"/>
    <w:rPr>
      <w:sz w:val="20"/>
      <w:szCs w:val="20"/>
    </w:rPr>
  </w:style>
  <w:style w:type="paragraph" w:styleId="CommentSubject">
    <w:name w:val="annotation subject"/>
    <w:basedOn w:val="CommentText"/>
    <w:next w:val="CommentText"/>
    <w:link w:val="CommentSubjectChar"/>
    <w:uiPriority w:val="99"/>
    <w:semiHidden/>
    <w:unhideWhenUsed/>
    <w:rsid w:val="00E8260A"/>
    <w:rPr>
      <w:b/>
      <w:bCs/>
    </w:rPr>
  </w:style>
  <w:style w:type="character" w:customStyle="1" w:styleId="CommentSubjectChar">
    <w:name w:val="Comment Subject Char"/>
    <w:basedOn w:val="CommentTextChar"/>
    <w:link w:val="CommentSubject"/>
    <w:uiPriority w:val="99"/>
    <w:semiHidden/>
    <w:rsid w:val="00E8260A"/>
    <w:rPr>
      <w:b/>
      <w:bCs/>
      <w:sz w:val="20"/>
      <w:szCs w:val="20"/>
    </w:rPr>
  </w:style>
  <w:style w:type="character" w:styleId="FollowedHyperlink">
    <w:name w:val="FollowedHyperlink"/>
    <w:basedOn w:val="DefaultParagraphFont"/>
    <w:uiPriority w:val="99"/>
    <w:semiHidden/>
    <w:unhideWhenUsed/>
    <w:rsid w:val="004B4269"/>
    <w:rPr>
      <w:color w:val="96607D" w:themeColor="followedHyperlink"/>
      <w:u w:val="single"/>
    </w:rPr>
  </w:style>
  <w:style w:type="paragraph" w:customStyle="1" w:styleId="Body">
    <w:name w:val="Body"/>
    <w:basedOn w:val="Normal"/>
    <w:link w:val="BodyChar"/>
    <w:qFormat/>
    <w:rsid w:val="002633B6"/>
    <w:pPr>
      <w:widowControl w:val="0"/>
      <w:autoSpaceDE w:val="0"/>
      <w:autoSpaceDN w:val="0"/>
      <w:spacing w:before="120" w:after="120" w:line="264" w:lineRule="auto"/>
    </w:pPr>
    <w:rPr>
      <w:rFonts w:ascii="Arial" w:eastAsia="Times New Roman" w:hAnsi="Arial" w:cs="Arial"/>
      <w:kern w:val="0"/>
      <w:sz w:val="20"/>
      <w:szCs w:val="18"/>
      <w:lang w:val="en-US" w:bidi="en-US"/>
      <w14:ligatures w14:val="none"/>
    </w:rPr>
  </w:style>
  <w:style w:type="character" w:customStyle="1" w:styleId="BodyChar">
    <w:name w:val="Body Char"/>
    <w:aliases w:val="#List Paragraph Char,b1 Char,b + line Char,level 1 Char,Number Char,b Char,List Paragraph111 Char,F5 List Paragraph Char,Dot pt Char,CV text Char,List Paragraph Char,List Paragraph1 Char,List Paragraph11 Char,Recommendation Char,L Char"/>
    <w:link w:val="Body"/>
    <w:qFormat/>
    <w:rsid w:val="002633B6"/>
    <w:rPr>
      <w:rFonts w:ascii="Arial" w:eastAsia="Times New Roman" w:hAnsi="Arial" w:cs="Arial"/>
      <w:kern w:val="0"/>
      <w:sz w:val="20"/>
      <w:szCs w:val="18"/>
      <w:lang w:val="en-US" w:bidi="en-US"/>
      <w14:ligatures w14:val="none"/>
    </w:rPr>
  </w:style>
  <w:style w:type="table" w:styleId="TableGrid">
    <w:name w:val="Table Grid"/>
    <w:basedOn w:val="TableNormal"/>
    <w:uiPriority w:val="39"/>
    <w:rsid w:val="002E3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ademic.oup.com/jpepsy/article/46/1/49/5917816?login=true" TargetMode="External"/><Relationship Id="rId18" Type="http://schemas.openxmlformats.org/officeDocument/2006/relationships/hyperlink" Target="https://www.sciencedirect.com/science/article/pii/S1353829225000826" TargetMode="External"/><Relationship Id="rId26" Type="http://schemas.openxmlformats.org/officeDocument/2006/relationships/hyperlink" Target="https://journals.sagepub.com/doi/full/10.1177/0004867418814943" TargetMode="External"/><Relationship Id="rId3" Type="http://schemas.openxmlformats.org/officeDocument/2006/relationships/settings" Target="settings.xml"/><Relationship Id="rId21" Type="http://schemas.openxmlformats.org/officeDocument/2006/relationships/hyperlink" Target="https://link.springer.com/content/pdf/10.1007/s12519-025-00936-0.pdf" TargetMode="External"/><Relationship Id="rId34" Type="http://schemas.openxmlformats.org/officeDocument/2006/relationships/hyperlink" Target="https://www.aedc.gov.au/resources/detail/how-has-the-covid-19-pandemic-affected-children---aedc-2021-data-story" TargetMode="External"/><Relationship Id="rId7" Type="http://schemas.openxmlformats.org/officeDocument/2006/relationships/hyperlink" Target="https://www.sciencedirect.com/science/article/pii/S0160412025003939" TargetMode="External"/><Relationship Id="rId12" Type="http://schemas.openxmlformats.org/officeDocument/2006/relationships/hyperlink" Target="https://link.springer.com/content/pdf/10.1007/s13384-025-00827-3.pdf" TargetMode="External"/><Relationship Id="rId17" Type="http://schemas.openxmlformats.org/officeDocument/2006/relationships/hyperlink" Target="https://www.thesmithfamily.com.au/-/media/files/research/reports/kids-in-communities-study-final-report-april-2018.pdf" TargetMode="External"/><Relationship Id="rId25" Type="http://schemas.openxmlformats.org/officeDocument/2006/relationships/hyperlink" Target="https://pmc.ncbi.nlm.nih.gov/articles/PMC11828822/" TargetMode="External"/><Relationship Id="rId33" Type="http://schemas.openxmlformats.org/officeDocument/2006/relationships/hyperlink" Target="https://www.aedc.gov.au/resources/detail/how-can-we-improve-equity-in-early-childhood---aedc-2021-data-story" TargetMode="External"/><Relationship Id="rId2" Type="http://schemas.openxmlformats.org/officeDocument/2006/relationships/styles" Target="styles.xml"/><Relationship Id="rId16" Type="http://schemas.openxmlformats.org/officeDocument/2006/relationships/hyperlink" Target="https://pubmed.ncbi.nlm.nih.gov/38850748/" TargetMode="External"/><Relationship Id="rId20" Type="http://schemas.openxmlformats.org/officeDocument/2006/relationships/hyperlink" Target="https://www.aedc.gov.au/docs/default-source/resources/early-developmental-outcomes-australian-children-diverse-language-backgrounds-school-entry.pdf?sfvrsn=89e0e9cc_1" TargetMode="External"/><Relationship Id="rId29" Type="http://schemas.openxmlformats.org/officeDocument/2006/relationships/hyperlink" Target="https://www.pc.gov.au/closing-the-gap-data/dashboard/se/outcome-area4" TargetMode="External"/><Relationship Id="rId1" Type="http://schemas.openxmlformats.org/officeDocument/2006/relationships/numbering" Target="numbering.xml"/><Relationship Id="rId6" Type="http://schemas.openxmlformats.org/officeDocument/2006/relationships/hyperlink" Target="https://www.aedc.gov.au/docs/default-source/default-document-library/ed14-0204-ec-aedc-research-snapshot_perinatal_acc.pdf?sfvrsn=fd268c2b_1" TargetMode="External"/><Relationship Id="rId11" Type="http://schemas.openxmlformats.org/officeDocument/2006/relationships/hyperlink" Target="https://www.sciencedirect.com/science/article/pii/S1353829224001552" TargetMode="External"/><Relationship Id="rId24" Type="http://schemas.openxmlformats.org/officeDocument/2006/relationships/hyperlink" Target="https://pmc.ncbi.nlm.nih.gov/articles/PMC9970171/" TargetMode="External"/><Relationship Id="rId32" Type="http://schemas.openxmlformats.org/officeDocument/2006/relationships/hyperlink" Target="https://espace.library.uq.edu.au/data/UQ_86fbe84/Rankin_2025_Link_between_ECEC_and_AEDC.pdf?dsi_version=19272d03fd191d1aae71387dd83d7a33&amp;Expires=1755829673&amp;Key-Pair-Id=APKAJKNBJ4MJBJNC6NLQ&amp;Signature=DgNGqRYh7a8q2ba1-FlBOfjhN2~jEptS7tLNafbcD0JD0OxMA7~2FvHsCjPnTDCxcyqWS4wBbioVHjV-Dbfik3E4-MuHWUE4VBDRVAIQKrTQ83T1SHebRZKI6apf5uMGRalodeWrTV3WDhAPCr-u3-f9rHFrCuN0HbirKelJgKtjY8ORc2r551OC1Tc8Tw84I5tmd7tOo~mpn72XH0mHePE2hIoQBPCD6ZPhJhX02qycP87pcvtbWjBhwMo3JWXShJ6zRePP-xSK5PFMqIFbc74WB0WWhJinRzoV0le1oJxsguiOWQhgshiymsBUdVjhZz8SroftZdwUS8qn~oH09g__" TargetMode="External"/><Relationship Id="rId5" Type="http://schemas.openxmlformats.org/officeDocument/2006/relationships/hyperlink" Target="https://www.aedc.gov.au/docs/default-source/default-document-library/aedc_national-report-2024_da7-4-v2-accessible33024974-ca37-4437-8628-275840188274.docx?sfvrsn=6608248e_1" TargetMode="External"/><Relationship Id="rId15" Type="http://schemas.openxmlformats.org/officeDocument/2006/relationships/hyperlink" Target="https://www.aedc.gov.au/docs/default-source/resources/contact-with-the-child-protection-system-and-childrens-development.pdf?sfvrsn=5d30b96e_1" TargetMode="External"/><Relationship Id="rId23" Type="http://schemas.openxmlformats.org/officeDocument/2006/relationships/hyperlink" Target="https://www.tandfonline.com/doi/full/10.1080/03004430.2024.2434073" TargetMode="External"/><Relationship Id="rId28" Type="http://schemas.openxmlformats.org/officeDocument/2006/relationships/hyperlink" Target="https://api.research-repository.uwa.edu.au/ws/portalfiles/portal/18357061/THESIS_DOCTOR_OF_PHILOSOPHY_BELL_Megan_Fiona_2017.pdf" TargetMode="External"/><Relationship Id="rId36" Type="http://schemas.openxmlformats.org/officeDocument/2006/relationships/theme" Target="theme/theme1.xml"/><Relationship Id="rId10" Type="http://schemas.openxmlformats.org/officeDocument/2006/relationships/hyperlink" Target="https://www.aedc.gov.au/docs/default-source/resources/relationship-between-ecec-and-childrens-development.pdf?sfvrsn=bd9937f6_1" TargetMode="External"/><Relationship Id="rId19" Type="http://schemas.openxmlformats.org/officeDocument/2006/relationships/hyperlink" Target="https://pmc.ncbi.nlm.nih.gov/articles/PMC9180559/" TargetMode="External"/><Relationship Id="rId31" Type="http://schemas.openxmlformats.org/officeDocument/2006/relationships/hyperlink" Target="https://onlinelibrary.wiley.com/doi/10.1111/cch.12737" TargetMode="External"/><Relationship Id="rId4" Type="http://schemas.openxmlformats.org/officeDocument/2006/relationships/webSettings" Target="webSettings.xml"/><Relationship Id="rId9" Type="http://schemas.openxmlformats.org/officeDocument/2006/relationships/hyperlink" Target="https://pubmed.ncbi.nlm.nih.gov/38360367/" TargetMode="External"/><Relationship Id="rId14" Type="http://schemas.openxmlformats.org/officeDocument/2006/relationships/hyperlink" Target="https://www.aedc.gov.au/docs/default-source/resources/mental-health-and-childrens-early-learning.pdf?sfvrsn=722dae82_1" TargetMode="External"/><Relationship Id="rId22" Type="http://schemas.openxmlformats.org/officeDocument/2006/relationships/hyperlink" Target="https://pmc.ncbi.nlm.nih.gov/articles/PMC4180217/pdf/nihms-571550.pdf" TargetMode="External"/><Relationship Id="rId27" Type="http://schemas.openxmlformats.org/officeDocument/2006/relationships/hyperlink" Target="https://www.aedc.gov.au/resources/detail/the-predictive-validity-of-the-early-development-instrument-edi-predicting-later-cognitive-and-behavioural-outcomes" TargetMode="External"/><Relationship Id="rId30" Type="http://schemas.openxmlformats.org/officeDocument/2006/relationships/hyperlink" Target="https://www.aedc.gov.au/docs/default-source/resources/teacher-and-parent-views-on-childrens-adhn.pdf?sfvrsn=a088cf45_1" TargetMode="External"/><Relationship Id="rId35" Type="http://schemas.openxmlformats.org/officeDocument/2006/relationships/fontTable" Target="fontTable.xml"/><Relationship Id="rId8" Type="http://schemas.openxmlformats.org/officeDocument/2006/relationships/hyperlink" Target="https://pmc.ncbi.nlm.nih.gov/articles/PMC108278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1874</Words>
  <Characters>14411</Characters>
  <Application>Microsoft Office Word</Application>
  <DocSecurity>0</DocSecurity>
  <Lines>120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Gavin</dc:creator>
  <cp:keywords/>
  <dc:description/>
  <cp:lastModifiedBy>Tess Gregory</cp:lastModifiedBy>
  <cp:revision>10</cp:revision>
  <dcterms:created xsi:type="dcterms:W3CDTF">2025-08-26T03:39:00Z</dcterms:created>
  <dcterms:modified xsi:type="dcterms:W3CDTF">2025-08-27T06:00:00Z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b133a14b-215a-4a4c-9ad0-c7322918e1ee</vt:lpwstr>
  </property>
</Properties>
</file>