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E6739" w14:textId="77777777" w:rsidR="00775BA7" w:rsidRDefault="00775BA7" w:rsidP="00C117B8">
      <w:pPr>
        <w:pStyle w:val="AEDCBodyText"/>
        <w:tabs>
          <w:tab w:val="left" w:pos="7088"/>
        </w:tabs>
        <w:spacing w:after="960"/>
        <w:ind w:left="-709" w:right="-12"/>
        <w:rPr>
          <w:noProof/>
          <w:lang w:eastAsia="en-AU"/>
        </w:rPr>
        <w:sectPr w:rsidR="00775BA7" w:rsidSect="00C117B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720" w:right="0" w:bottom="720" w:left="720" w:header="454" w:footer="154" w:gutter="0"/>
          <w:cols w:space="708"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221DCCBE" wp14:editId="6C446AD0">
            <wp:extent cx="2974848" cy="1377696"/>
            <wp:effectExtent l="0" t="0" r="0" b="0"/>
            <wp:docPr id="5" name="Picture 5" descr="Logo, Australian Early Develpment Census, An Australian Government Initiative" title="AED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14-0199 EC AEDC Word elements-logo 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848" cy="137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518F">
        <w:rPr>
          <w:noProof/>
          <w:lang w:eastAsia="en-AU"/>
        </w:rPr>
        <w:tab/>
      </w:r>
      <w:r>
        <w:rPr>
          <w:noProof/>
          <w:lang w:eastAsia="en-AU"/>
        </w:rPr>
        <w:drawing>
          <wp:inline distT="0" distB="0" distL="0" distR="0" wp14:anchorId="17C2ACF2" wp14:editId="22716B4D">
            <wp:extent cx="2473074" cy="1405719"/>
            <wp:effectExtent l="0" t="0" r="3810" b="4445"/>
            <wp:docPr id="6" name="Picture 6" descr="Logo - Our Children, Our Communities, Our Future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r Child-Our Comm-Our Future Logo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82759" cy="1411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EAF65C" w14:textId="77777777" w:rsidR="009F5065" w:rsidRPr="00444C72" w:rsidRDefault="009F5065" w:rsidP="009F5065">
      <w:pPr>
        <w:pStyle w:val="AEDCTitle-Minipre-titletext"/>
      </w:pPr>
      <w:r w:rsidRPr="00444C72">
        <w:t>Australian Early Development Census</w:t>
      </w:r>
    </w:p>
    <w:p w14:paraId="59F9FC9D" w14:textId="688A2B85" w:rsidR="002B173C" w:rsidRDefault="000D670F" w:rsidP="009F5065">
      <w:pPr>
        <w:pStyle w:val="AEDCTitle-Maintitletext"/>
      </w:pPr>
      <w:r>
        <w:t xml:space="preserve">A </w:t>
      </w:r>
      <w:r w:rsidR="005B6B88">
        <w:t>Good</w:t>
      </w:r>
      <w:r>
        <w:t xml:space="preserve"> S</w:t>
      </w:r>
      <w:r w:rsidR="005B6B88">
        <w:t xml:space="preserve">tart </w:t>
      </w:r>
      <w:r>
        <w:t>in Life for Young Children</w:t>
      </w:r>
    </w:p>
    <w:p w14:paraId="18FD5C43" w14:textId="369781E7" w:rsidR="009F5065" w:rsidRDefault="006A2A97" w:rsidP="009F5065">
      <w:pPr>
        <w:pStyle w:val="AEDCTitle-Subtitle"/>
      </w:pPr>
      <w:r>
        <w:t xml:space="preserve">Australian Capital Territory </w:t>
      </w:r>
    </w:p>
    <w:p w14:paraId="4AC92D56" w14:textId="77777777" w:rsidR="009F5065" w:rsidRDefault="009F5065" w:rsidP="009F5065">
      <w:pPr>
        <w:pStyle w:val="AEDCTitle-Subtitle"/>
      </w:pPr>
    </w:p>
    <w:p w14:paraId="22DD2285" w14:textId="6882DE3F" w:rsidR="009F5065" w:rsidRDefault="00AE2A05" w:rsidP="009F5065">
      <w:pPr>
        <w:pStyle w:val="AEDCHeading1"/>
      </w:pPr>
      <w:r>
        <w:t xml:space="preserve">About </w:t>
      </w:r>
      <w:r w:rsidR="00D40378">
        <w:t>Belconnen</w:t>
      </w:r>
      <w:r>
        <w:t xml:space="preserve"> </w:t>
      </w:r>
    </w:p>
    <w:p w14:paraId="2101A0D3" w14:textId="385C3DF0" w:rsidR="00E23543" w:rsidRDefault="001D62EC" w:rsidP="00AE2A05">
      <w:r w:rsidRPr="00B132A6">
        <w:t xml:space="preserve">The </w:t>
      </w:r>
      <w:r>
        <w:t>Australian Early Development Census (</w:t>
      </w:r>
      <w:r w:rsidRPr="00B132A6">
        <w:t>AEDC</w:t>
      </w:r>
      <w:r>
        <w:t>)</w:t>
      </w:r>
      <w:r w:rsidRPr="00B132A6">
        <w:t xml:space="preserve"> is a national measure of </w:t>
      </w:r>
      <w:r w:rsidR="00816909">
        <w:t xml:space="preserve">early </w:t>
      </w:r>
      <w:r w:rsidRPr="00B132A6">
        <w:t>child</w:t>
      </w:r>
      <w:r w:rsidR="00B236E5">
        <w:t>hood</w:t>
      </w:r>
      <w:r w:rsidRPr="00B132A6">
        <w:t xml:space="preserve"> development. It measures </w:t>
      </w:r>
      <w:r w:rsidR="00525A60">
        <w:t>5</w:t>
      </w:r>
      <w:r w:rsidRPr="00B132A6">
        <w:t xml:space="preserve"> key areas</w:t>
      </w:r>
      <w:r w:rsidR="00005944">
        <w:t>,</w:t>
      </w:r>
      <w:r w:rsidRPr="00B132A6">
        <w:t xml:space="preserve"> </w:t>
      </w:r>
      <w:r w:rsidR="00B236E5">
        <w:t xml:space="preserve">referred to as </w:t>
      </w:r>
      <w:r w:rsidRPr="00B132A6">
        <w:t>domains</w:t>
      </w:r>
      <w:r w:rsidR="00005944">
        <w:t>,</w:t>
      </w:r>
      <w:r w:rsidRPr="00B132A6">
        <w:t xml:space="preserve"> when a child starts school. The domains </w:t>
      </w:r>
      <w:r w:rsidR="00525A60" w:rsidRPr="00B132A6">
        <w:t>are</w:t>
      </w:r>
      <w:r w:rsidRPr="00B132A6">
        <w:t xml:space="preserve"> physical health and wellbeing; social competence; emotional maturity; language and cognitive skills</w:t>
      </w:r>
      <w:r>
        <w:t xml:space="preserve"> (school</w:t>
      </w:r>
      <w:r w:rsidR="0075071F">
        <w:t>-</w:t>
      </w:r>
      <w:r>
        <w:t>based)</w:t>
      </w:r>
      <w:r w:rsidRPr="00B132A6">
        <w:t xml:space="preserve">; </w:t>
      </w:r>
      <w:r w:rsidR="00816909">
        <w:t xml:space="preserve">and </w:t>
      </w:r>
      <w:r w:rsidRPr="00B132A6">
        <w:t xml:space="preserve">communication skills and general knowledge. </w:t>
      </w:r>
    </w:p>
    <w:p w14:paraId="2385157D" w14:textId="7484D47B" w:rsidR="00317959" w:rsidRDefault="00317959" w:rsidP="00317959">
      <w:r>
        <w:rPr>
          <w:noProof/>
        </w:rPr>
        <w:t xml:space="preserve">Belconnen </w:t>
      </w:r>
      <w:r>
        <w:t xml:space="preserve">is a large region in Canberra’s </w:t>
      </w:r>
      <w:r w:rsidR="0004576B">
        <w:t>northwest</w:t>
      </w:r>
      <w:r>
        <w:t>. It is an established area</w:t>
      </w:r>
      <w:r w:rsidR="00E64FAA">
        <w:t>,</w:t>
      </w:r>
      <w:r>
        <w:t xml:space="preserve"> with the number of children in their first year of school remaining stable across recent AEDC cycles. Of the </w:t>
      </w:r>
      <w:r w:rsidR="00793A04">
        <w:t>1,276</w:t>
      </w:r>
      <w:r w:rsidR="00570727">
        <w:t xml:space="preserve"> </w:t>
      </w:r>
      <w:r>
        <w:t>Belconnen children included in the 20</w:t>
      </w:r>
      <w:r w:rsidR="00570727">
        <w:t>21</w:t>
      </w:r>
      <w:r>
        <w:t xml:space="preserve"> AEDC cycle, </w:t>
      </w:r>
      <w:r w:rsidR="004537FF">
        <w:t>5.3</w:t>
      </w:r>
      <w:r>
        <w:t xml:space="preserve">% </w:t>
      </w:r>
      <w:r w:rsidR="00A756E0">
        <w:t xml:space="preserve">identify as </w:t>
      </w:r>
      <w:r>
        <w:t xml:space="preserve">Aboriginal and Torres Strait Islander, </w:t>
      </w:r>
      <w:r w:rsidR="005C7158">
        <w:t>while 25.1% had a language background other than English (LBOTE).</w:t>
      </w:r>
    </w:p>
    <w:p w14:paraId="3F440629" w14:textId="7C9999BD" w:rsidR="00E23543" w:rsidRDefault="00317959" w:rsidP="00AE2A05">
      <w:r>
        <w:t>The vast majority (</w:t>
      </w:r>
      <w:r w:rsidR="001C3AE5">
        <w:t>97.7</w:t>
      </w:r>
      <w:r>
        <w:t>%) of Belconnen children attended preschool in the year prior to school. Kindergarten teachers reported that most children in Belconnen (</w:t>
      </w:r>
      <w:r w:rsidR="004C15EA">
        <w:t>96.2</w:t>
      </w:r>
      <w:r>
        <w:t xml:space="preserve">%) were adapting to school and had parents </w:t>
      </w:r>
      <w:r w:rsidR="007E7749">
        <w:t xml:space="preserve">that </w:t>
      </w:r>
      <w:r>
        <w:t>actively engaged in supporting their child’s learning (</w:t>
      </w:r>
      <w:r w:rsidR="004C15EA">
        <w:t>93.6</w:t>
      </w:r>
      <w:r>
        <w:t xml:space="preserve">%). </w:t>
      </w:r>
      <w:r w:rsidR="00823351">
        <w:t xml:space="preserve">Many </w:t>
      </w:r>
      <w:r w:rsidR="0087673F">
        <w:t xml:space="preserve">Belconnen </w:t>
      </w:r>
      <w:r w:rsidR="00823351">
        <w:t xml:space="preserve">children </w:t>
      </w:r>
      <w:r w:rsidR="0087673F">
        <w:t xml:space="preserve">were </w:t>
      </w:r>
      <w:r w:rsidR="00057E80">
        <w:t>regularly</w:t>
      </w:r>
      <w:r w:rsidR="004D05A3">
        <w:t xml:space="preserve"> read to and encouraged in their reading (88.4</w:t>
      </w:r>
      <w:r w:rsidR="00A97499">
        <w:t xml:space="preserve">%). </w:t>
      </w:r>
      <w:r w:rsidR="00066768">
        <w:t xml:space="preserve">However, this has </w:t>
      </w:r>
      <w:r w:rsidR="00A97499">
        <w:t>decline</w:t>
      </w:r>
      <w:r w:rsidR="00066768">
        <w:t>d slightly</w:t>
      </w:r>
      <w:r w:rsidR="00A97499">
        <w:t xml:space="preserve"> since </w:t>
      </w:r>
      <w:r w:rsidR="004F547D">
        <w:t xml:space="preserve">2018 (89.6%) </w:t>
      </w:r>
      <w:r w:rsidR="00066768">
        <w:t xml:space="preserve">which mirrors </w:t>
      </w:r>
      <w:r w:rsidR="004F547D">
        <w:t xml:space="preserve">a decline </w:t>
      </w:r>
      <w:r w:rsidR="00066768">
        <w:t xml:space="preserve">in home </w:t>
      </w:r>
      <w:r w:rsidR="00195BB8">
        <w:t xml:space="preserve">reading </w:t>
      </w:r>
      <w:r w:rsidR="00066768">
        <w:t xml:space="preserve">at </w:t>
      </w:r>
      <w:r w:rsidR="004F547D">
        <w:t xml:space="preserve">both </w:t>
      </w:r>
      <w:r w:rsidR="00066768">
        <w:t xml:space="preserve">at </w:t>
      </w:r>
      <w:r w:rsidR="004F547D">
        <w:t xml:space="preserve">the ACT </w:t>
      </w:r>
      <w:r w:rsidR="00057E80">
        <w:t xml:space="preserve">and </w:t>
      </w:r>
      <w:r w:rsidR="004C0F4A">
        <w:t>national level</w:t>
      </w:r>
      <w:r w:rsidR="00B858CC">
        <w:t>s.</w:t>
      </w:r>
      <w:r w:rsidR="004C0F4A">
        <w:t xml:space="preserve"> </w:t>
      </w:r>
    </w:p>
    <w:p w14:paraId="530C0E36" w14:textId="77777777" w:rsidR="00AE2A05" w:rsidRDefault="00AE2A05" w:rsidP="00AE2A05">
      <w:pPr>
        <w:pStyle w:val="AEDCHeading1"/>
      </w:pPr>
      <w:r>
        <w:t xml:space="preserve">What did the results show? </w:t>
      </w:r>
    </w:p>
    <w:p w14:paraId="757852F9" w14:textId="1652EC51" w:rsidR="00081C34" w:rsidRDefault="00081C34" w:rsidP="00081C34">
      <w:r>
        <w:t>In 20</w:t>
      </w:r>
      <w:r w:rsidR="00570727">
        <w:t>21</w:t>
      </w:r>
      <w:r>
        <w:t xml:space="preserve">, Belconnen was the ACT region with the highest percentage of children considered to be developmentally vulnerable on </w:t>
      </w:r>
      <w:r w:rsidR="00B858CC">
        <w:t>one</w:t>
      </w:r>
      <w:r>
        <w:t xml:space="preserve"> or more domain</w:t>
      </w:r>
      <w:r w:rsidR="006D303C">
        <w:t>(</w:t>
      </w:r>
      <w:r>
        <w:t>s</w:t>
      </w:r>
      <w:r w:rsidR="006D303C">
        <w:t>)</w:t>
      </w:r>
      <w:r>
        <w:t xml:space="preserve"> (</w:t>
      </w:r>
      <w:r w:rsidR="005A2333">
        <w:t>30.5</w:t>
      </w:r>
      <w:r>
        <w:t>% or</w:t>
      </w:r>
      <w:r w:rsidR="00570727">
        <w:t xml:space="preserve"> </w:t>
      </w:r>
      <w:r w:rsidR="00F17DFC">
        <w:t>368</w:t>
      </w:r>
      <w:r>
        <w:t xml:space="preserve"> children), </w:t>
      </w:r>
      <w:r w:rsidR="0004576B">
        <w:t>and</w:t>
      </w:r>
      <w:r w:rsidR="00F17DFC">
        <w:t xml:space="preserve"> </w:t>
      </w:r>
      <w:r>
        <w:t>with the highest percentage of children developmentally vulnerable on</w:t>
      </w:r>
      <w:r w:rsidR="002176B3">
        <w:t xml:space="preserve"> </w:t>
      </w:r>
      <w:r w:rsidR="00B858CC">
        <w:t>two</w:t>
      </w:r>
      <w:r>
        <w:t xml:space="preserve"> or more domains (</w:t>
      </w:r>
      <w:r w:rsidR="00F17DFC">
        <w:t>16.7</w:t>
      </w:r>
      <w:r>
        <w:t xml:space="preserve">% or </w:t>
      </w:r>
      <w:r w:rsidR="00327EDF">
        <w:t>201</w:t>
      </w:r>
      <w:r>
        <w:t xml:space="preserve">). </w:t>
      </w:r>
      <w:r w:rsidR="00260539">
        <w:t>Belconne</w:t>
      </w:r>
      <w:r w:rsidR="00F3445B">
        <w:t xml:space="preserve">n also had the lowest percentage of children on track on </w:t>
      </w:r>
      <w:r w:rsidR="00B858CC">
        <w:t>five</w:t>
      </w:r>
      <w:r w:rsidR="00F3445B">
        <w:t xml:space="preserve"> domains (</w:t>
      </w:r>
      <w:r w:rsidR="00FF75CF">
        <w:t xml:space="preserve">41.0% or 494) </w:t>
      </w:r>
      <w:r w:rsidR="00F3445B">
        <w:t xml:space="preserve">of all the ACT regions. </w:t>
      </w:r>
      <w:r w:rsidR="00816909">
        <w:t>When comparing AEDC results from 2018 to 2021,</w:t>
      </w:r>
      <w:r w:rsidR="00AC72EC">
        <w:t xml:space="preserve"> changes in</w:t>
      </w:r>
      <w:r w:rsidR="00816909">
        <w:t xml:space="preserve"> all </w:t>
      </w:r>
      <w:r w:rsidR="00444B7F">
        <w:t xml:space="preserve">3 </w:t>
      </w:r>
      <w:r w:rsidR="00816909">
        <w:t>of</w:t>
      </w:r>
      <w:r w:rsidR="00AC72EC">
        <w:t xml:space="preserve"> the summary indicators </w:t>
      </w:r>
      <w:r w:rsidR="00BD15D8">
        <w:t>were statistically significant</w:t>
      </w:r>
      <w:r w:rsidR="00816909">
        <w:t>.</w:t>
      </w:r>
      <w:r w:rsidR="00613376">
        <w:t xml:space="preserve"> </w:t>
      </w:r>
      <w:r w:rsidR="00816909">
        <w:t xml:space="preserve">The percentage of children </w:t>
      </w:r>
      <w:r>
        <w:t>developmentally vulnerable on</w:t>
      </w:r>
      <w:r w:rsidR="00327EDF">
        <w:t xml:space="preserve"> </w:t>
      </w:r>
      <w:r w:rsidR="00B858CC">
        <w:t>one</w:t>
      </w:r>
      <w:r>
        <w:t xml:space="preserve"> or more domain</w:t>
      </w:r>
      <w:r w:rsidR="002176B3">
        <w:t>(</w:t>
      </w:r>
      <w:r>
        <w:t>s</w:t>
      </w:r>
      <w:r w:rsidR="002176B3">
        <w:t>)</w:t>
      </w:r>
      <w:r>
        <w:t xml:space="preserve"> </w:t>
      </w:r>
      <w:r w:rsidR="00816909">
        <w:t xml:space="preserve">increased from </w:t>
      </w:r>
      <w:r w:rsidR="007B519A">
        <w:t>26.4</w:t>
      </w:r>
      <w:r>
        <w:t xml:space="preserve">% to </w:t>
      </w:r>
      <w:r w:rsidR="00327EDF">
        <w:t>30.5</w:t>
      </w:r>
      <w:r>
        <w:t>%</w:t>
      </w:r>
      <w:r w:rsidR="00613376">
        <w:t>;</w:t>
      </w:r>
      <w:r w:rsidR="00807BCD">
        <w:t xml:space="preserve"> developmentally vulnerable on </w:t>
      </w:r>
      <w:r w:rsidR="005C4549">
        <w:t>two</w:t>
      </w:r>
      <w:r w:rsidR="00807BCD">
        <w:t xml:space="preserve"> or more domains</w:t>
      </w:r>
      <w:r w:rsidR="00816909">
        <w:t xml:space="preserve"> increased from</w:t>
      </w:r>
      <w:r w:rsidR="00807BCD">
        <w:t xml:space="preserve"> </w:t>
      </w:r>
      <w:r w:rsidR="007B519A">
        <w:t>14.3</w:t>
      </w:r>
      <w:r>
        <w:t xml:space="preserve">% to </w:t>
      </w:r>
      <w:r w:rsidR="00807BCD">
        <w:t>16.7</w:t>
      </w:r>
      <w:r>
        <w:t>%</w:t>
      </w:r>
      <w:r w:rsidR="0062041E">
        <w:t xml:space="preserve">; </w:t>
      </w:r>
      <w:r w:rsidR="00816909">
        <w:t xml:space="preserve">and developmentally </w:t>
      </w:r>
      <w:r w:rsidR="0062041E">
        <w:t>on track on five domains</w:t>
      </w:r>
      <w:r w:rsidR="00F51CC4">
        <w:t xml:space="preserve"> </w:t>
      </w:r>
      <w:r w:rsidR="00816909">
        <w:t xml:space="preserve">reduced from </w:t>
      </w:r>
      <w:r w:rsidR="00F51CC4">
        <w:t>47.4% to 41.0%</w:t>
      </w:r>
      <w:r>
        <w:t>). Th</w:t>
      </w:r>
      <w:r w:rsidR="00C54059">
        <w:t>e</w:t>
      </w:r>
      <w:r>
        <w:t>s</w:t>
      </w:r>
      <w:r w:rsidR="00C54059">
        <w:t>e</w:t>
      </w:r>
      <w:r>
        <w:t xml:space="preserve"> emerging trend</w:t>
      </w:r>
      <w:r w:rsidR="0086410F">
        <w:t>s</w:t>
      </w:r>
      <w:r>
        <w:t xml:space="preserve"> highlight a</w:t>
      </w:r>
      <w:r w:rsidR="00807BCD">
        <w:t xml:space="preserve">n increasing </w:t>
      </w:r>
      <w:r>
        <w:t xml:space="preserve">need for further early childhood development support in the </w:t>
      </w:r>
      <w:r w:rsidR="0086410F">
        <w:t xml:space="preserve">Belconnen </w:t>
      </w:r>
      <w:r>
        <w:t xml:space="preserve">region. </w:t>
      </w:r>
    </w:p>
    <w:p w14:paraId="6938571F" w14:textId="763B1F29" w:rsidR="008F4F71" w:rsidRDefault="00081C34" w:rsidP="00081C34">
      <w:r>
        <w:t>When compared to the ACT average, Belconnen displayed a higher percentage of children developmentally vulnerable across all domains. Significant increases between 2</w:t>
      </w:r>
      <w:r w:rsidR="009667E1">
        <w:t>018</w:t>
      </w:r>
      <w:r>
        <w:t xml:space="preserve"> and 20</w:t>
      </w:r>
      <w:r w:rsidR="009667E1">
        <w:t>21</w:t>
      </w:r>
      <w:r>
        <w:t xml:space="preserve"> in the percentage of Belconnen children developmentally vulnerable in the </w:t>
      </w:r>
      <w:r w:rsidR="00B86F3A">
        <w:t>physical health and wellbeing</w:t>
      </w:r>
      <w:r w:rsidR="00930661">
        <w:t>,</w:t>
      </w:r>
      <w:r w:rsidR="00935935">
        <w:t xml:space="preserve"> and</w:t>
      </w:r>
      <w:r w:rsidR="00B86F3A">
        <w:t xml:space="preserve"> </w:t>
      </w:r>
      <w:r>
        <w:t xml:space="preserve">social competence domains demonstrates a rising need for supports in these developmental areas for the children of Belconnen. </w:t>
      </w:r>
    </w:p>
    <w:p w14:paraId="39B8D9F0" w14:textId="77777777" w:rsidR="00AE2A05" w:rsidRDefault="00AE2A05" w:rsidP="00AE2A05">
      <w:pPr>
        <w:pStyle w:val="AEDCHeading1"/>
      </w:pPr>
      <w:r>
        <w:lastRenderedPageBreak/>
        <w:t xml:space="preserve">Bringing about change </w:t>
      </w:r>
    </w:p>
    <w:p w14:paraId="1700FF33" w14:textId="3FB672C1" w:rsidR="00067BA9" w:rsidRDefault="00081F7B" w:rsidP="0010124A">
      <w:pPr>
        <w:pStyle w:val="pf0"/>
        <w:rPr>
          <w:rStyle w:val="cf01"/>
          <w:rFonts w:ascii="Arial" w:eastAsiaTheme="majorEastAsia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3097A" w:rsidRPr="00081F7B">
        <w:rPr>
          <w:rFonts w:ascii="Arial" w:hAnsi="Arial" w:cs="Arial"/>
          <w:sz w:val="22"/>
          <w:szCs w:val="22"/>
        </w:rPr>
        <w:t xml:space="preserve">AEDC plays </w:t>
      </w:r>
      <w:r w:rsidR="006D5626" w:rsidRPr="00081F7B">
        <w:rPr>
          <w:rFonts w:ascii="Arial" w:hAnsi="Arial" w:cs="Arial"/>
          <w:sz w:val="22"/>
          <w:szCs w:val="22"/>
        </w:rPr>
        <w:t xml:space="preserve">a </w:t>
      </w:r>
      <w:r w:rsidR="00B3097A" w:rsidRPr="00081F7B">
        <w:rPr>
          <w:rFonts w:ascii="Arial" w:hAnsi="Arial" w:cs="Arial"/>
          <w:sz w:val="22"/>
          <w:szCs w:val="22"/>
        </w:rPr>
        <w:t>critical role in</w:t>
      </w:r>
      <w:r w:rsidR="002B4E52" w:rsidRPr="00081F7B">
        <w:rPr>
          <w:rFonts w:ascii="Arial" w:hAnsi="Arial" w:cs="Arial"/>
          <w:sz w:val="22"/>
          <w:szCs w:val="22"/>
        </w:rPr>
        <w:t xml:space="preserve"> </w:t>
      </w:r>
      <w:r w:rsidR="000A7EA8" w:rsidRPr="00081F7B">
        <w:rPr>
          <w:rFonts w:ascii="Arial" w:hAnsi="Arial" w:cs="Arial"/>
          <w:sz w:val="22"/>
          <w:szCs w:val="22"/>
        </w:rPr>
        <w:t>the</w:t>
      </w:r>
      <w:r w:rsidR="007C39A8">
        <w:rPr>
          <w:rFonts w:ascii="Arial" w:hAnsi="Arial" w:cs="Arial"/>
          <w:sz w:val="22"/>
          <w:szCs w:val="22"/>
        </w:rPr>
        <w:t xml:space="preserve"> ‘</w:t>
      </w:r>
      <w:r w:rsidR="00B3097A" w:rsidRPr="00081F7B">
        <w:rPr>
          <w:rFonts w:ascii="Arial" w:hAnsi="Arial" w:cs="Arial"/>
          <w:sz w:val="22"/>
          <w:szCs w:val="22"/>
        </w:rPr>
        <w:t>Good Start in Life for Young Children</w:t>
      </w:r>
      <w:r w:rsidR="00816909">
        <w:rPr>
          <w:rFonts w:ascii="Arial" w:hAnsi="Arial" w:cs="Arial"/>
          <w:sz w:val="22"/>
          <w:szCs w:val="22"/>
        </w:rPr>
        <w:t>’</w:t>
      </w:r>
      <w:r w:rsidR="00B3097A" w:rsidRPr="00081F7B">
        <w:rPr>
          <w:rFonts w:ascii="Arial" w:hAnsi="Arial" w:cs="Arial"/>
          <w:sz w:val="22"/>
          <w:szCs w:val="22"/>
        </w:rPr>
        <w:t xml:space="preserve"> research </w:t>
      </w:r>
      <w:r>
        <w:rPr>
          <w:rFonts w:ascii="Arial" w:hAnsi="Arial" w:cs="Arial"/>
          <w:sz w:val="22"/>
          <w:szCs w:val="22"/>
        </w:rPr>
        <w:t>project at the Health Research Institute, University of Canberra. F</w:t>
      </w:r>
      <w:r w:rsidR="001A4ACC" w:rsidRPr="00081F7B">
        <w:rPr>
          <w:rFonts w:ascii="Arial" w:hAnsi="Arial" w:cs="Arial"/>
          <w:sz w:val="22"/>
          <w:szCs w:val="22"/>
        </w:rPr>
        <w:t>unded b</w:t>
      </w:r>
      <w:r w:rsidR="00417338">
        <w:rPr>
          <w:rFonts w:ascii="Arial" w:hAnsi="Arial" w:cs="Arial"/>
          <w:sz w:val="22"/>
          <w:szCs w:val="22"/>
        </w:rPr>
        <w:t xml:space="preserve">y the </w:t>
      </w:r>
      <w:r w:rsidR="00B3097A" w:rsidRPr="00081F7B">
        <w:rPr>
          <w:rFonts w:ascii="Arial" w:hAnsi="Arial" w:cs="Arial"/>
          <w:sz w:val="22"/>
          <w:szCs w:val="22"/>
        </w:rPr>
        <w:t>Medical Research Future Fund</w:t>
      </w:r>
      <w:r w:rsidR="00417338">
        <w:rPr>
          <w:rFonts w:ascii="Arial" w:hAnsi="Arial" w:cs="Arial"/>
          <w:sz w:val="22"/>
          <w:szCs w:val="22"/>
        </w:rPr>
        <w:t xml:space="preserve"> (MRFF)</w:t>
      </w:r>
      <w:r w:rsidR="00B3097A" w:rsidRPr="00081F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 w:rsidR="0010124A" w:rsidRPr="00081F7B">
        <w:rPr>
          <w:rStyle w:val="cf01"/>
          <w:rFonts w:ascii="Arial" w:eastAsiaTheme="majorEastAsia" w:hAnsi="Arial" w:cs="Arial"/>
          <w:sz w:val="22"/>
          <w:szCs w:val="22"/>
        </w:rPr>
        <w:t xml:space="preserve"> aim of this project is to develop a program of support and connection for children (</w:t>
      </w:r>
      <w:r w:rsidR="00625610" w:rsidRPr="00081F7B">
        <w:rPr>
          <w:rStyle w:val="cf01"/>
          <w:rFonts w:ascii="Arial" w:eastAsiaTheme="majorEastAsia" w:hAnsi="Arial" w:cs="Arial"/>
          <w:sz w:val="22"/>
          <w:szCs w:val="22"/>
        </w:rPr>
        <w:t>birth</w:t>
      </w:r>
      <w:r w:rsidR="0010124A" w:rsidRPr="00081F7B">
        <w:rPr>
          <w:rStyle w:val="cf01"/>
          <w:rFonts w:ascii="Arial" w:eastAsiaTheme="majorEastAsia" w:hAnsi="Arial" w:cs="Arial"/>
          <w:sz w:val="22"/>
          <w:szCs w:val="22"/>
        </w:rPr>
        <w:t xml:space="preserve">-5 years) </w:t>
      </w:r>
      <w:r w:rsidR="00B33FCE" w:rsidRPr="00081F7B">
        <w:rPr>
          <w:rStyle w:val="cf01"/>
          <w:rFonts w:ascii="Arial" w:eastAsiaTheme="majorEastAsia" w:hAnsi="Arial" w:cs="Arial"/>
          <w:sz w:val="22"/>
          <w:szCs w:val="22"/>
        </w:rPr>
        <w:t xml:space="preserve">and their </w:t>
      </w:r>
      <w:r w:rsidR="0010124A" w:rsidRPr="00081F7B">
        <w:rPr>
          <w:rStyle w:val="cf01"/>
          <w:rFonts w:ascii="Arial" w:eastAsiaTheme="majorEastAsia" w:hAnsi="Arial" w:cs="Arial"/>
          <w:sz w:val="22"/>
          <w:szCs w:val="22"/>
        </w:rPr>
        <w:t xml:space="preserve">families in the Belconnen community. </w:t>
      </w:r>
    </w:p>
    <w:p w14:paraId="34ACECFD" w14:textId="32FB3D70" w:rsidR="000618FD" w:rsidRDefault="0010124A" w:rsidP="000B37F2">
      <w:pPr>
        <w:pStyle w:val="pf0"/>
        <w:rPr>
          <w:rFonts w:ascii="Arial" w:hAnsi="Arial" w:cs="Arial"/>
          <w:sz w:val="22"/>
          <w:szCs w:val="22"/>
        </w:rPr>
      </w:pPr>
      <w:r w:rsidRPr="00471127">
        <w:rPr>
          <w:rStyle w:val="cf01"/>
          <w:rFonts w:ascii="Arial" w:eastAsiaTheme="majorEastAsia" w:hAnsi="Arial" w:cs="Arial"/>
          <w:sz w:val="22"/>
          <w:szCs w:val="22"/>
        </w:rPr>
        <w:t xml:space="preserve">Using a multisector, multicomponent program of supports, the </w:t>
      </w:r>
      <w:r w:rsidR="00816909">
        <w:rPr>
          <w:rStyle w:val="cf01"/>
          <w:rFonts w:ascii="Arial" w:eastAsiaTheme="majorEastAsia" w:hAnsi="Arial" w:cs="Arial"/>
          <w:sz w:val="22"/>
          <w:szCs w:val="22"/>
        </w:rPr>
        <w:t xml:space="preserve">‘Good Start in Life’ </w:t>
      </w:r>
      <w:r w:rsidRPr="00471127">
        <w:rPr>
          <w:rStyle w:val="cf01"/>
          <w:rFonts w:ascii="Arial" w:eastAsiaTheme="majorEastAsia" w:hAnsi="Arial" w:cs="Arial"/>
          <w:sz w:val="22"/>
          <w:szCs w:val="22"/>
        </w:rPr>
        <w:t xml:space="preserve">project aims to evaluate the outcomes and processes related to </w:t>
      </w:r>
      <w:r w:rsidR="00A42EA4">
        <w:rPr>
          <w:rStyle w:val="cf01"/>
          <w:rFonts w:ascii="Arial" w:eastAsiaTheme="majorEastAsia" w:hAnsi="Arial" w:cs="Arial"/>
          <w:sz w:val="22"/>
          <w:szCs w:val="22"/>
        </w:rPr>
        <w:t>specifi</w:t>
      </w:r>
      <w:r w:rsidR="00A42EA4" w:rsidRPr="00471127">
        <w:rPr>
          <w:rStyle w:val="cf01"/>
          <w:rFonts w:ascii="Arial" w:eastAsiaTheme="majorEastAsia" w:hAnsi="Arial" w:cs="Arial"/>
          <w:sz w:val="22"/>
          <w:szCs w:val="22"/>
        </w:rPr>
        <w:t>c targeted</w:t>
      </w:r>
      <w:r w:rsidRPr="00471127">
        <w:rPr>
          <w:rStyle w:val="cf01"/>
          <w:rFonts w:ascii="Arial" w:eastAsiaTheme="majorEastAsia" w:hAnsi="Arial" w:cs="Arial"/>
          <w:sz w:val="22"/>
          <w:szCs w:val="22"/>
        </w:rPr>
        <w:t xml:space="preserve"> </w:t>
      </w:r>
      <w:r w:rsidR="00081F7B" w:rsidRPr="00471127">
        <w:rPr>
          <w:rStyle w:val="cf01"/>
          <w:rFonts w:ascii="Arial" w:eastAsiaTheme="majorEastAsia" w:hAnsi="Arial" w:cs="Arial"/>
          <w:sz w:val="22"/>
          <w:szCs w:val="22"/>
        </w:rPr>
        <w:t>programs</w:t>
      </w:r>
      <w:r w:rsidR="00816909">
        <w:rPr>
          <w:rStyle w:val="cf01"/>
          <w:rFonts w:ascii="Arial" w:eastAsiaTheme="majorEastAsia" w:hAnsi="Arial" w:cs="Arial"/>
          <w:sz w:val="22"/>
          <w:szCs w:val="22"/>
        </w:rPr>
        <w:t xml:space="preserve"> and </w:t>
      </w:r>
      <w:r w:rsidR="00081F7B" w:rsidRPr="00471127">
        <w:rPr>
          <w:rStyle w:val="cf01"/>
          <w:rFonts w:ascii="Arial" w:eastAsiaTheme="majorEastAsia" w:hAnsi="Arial" w:cs="Arial"/>
          <w:sz w:val="22"/>
          <w:szCs w:val="22"/>
        </w:rPr>
        <w:t>supports</w:t>
      </w:r>
      <w:r w:rsidRPr="00471127">
        <w:rPr>
          <w:rStyle w:val="cf01"/>
          <w:rFonts w:ascii="Arial" w:eastAsiaTheme="majorEastAsia" w:hAnsi="Arial" w:cs="Arial"/>
          <w:sz w:val="22"/>
          <w:szCs w:val="22"/>
        </w:rPr>
        <w:t xml:space="preserve"> designed to integrate existing child and family services</w:t>
      </w:r>
      <w:r w:rsidR="00A42EA4">
        <w:rPr>
          <w:rStyle w:val="cf01"/>
          <w:rFonts w:ascii="Arial" w:eastAsiaTheme="majorEastAsia" w:hAnsi="Arial" w:cs="Arial"/>
          <w:sz w:val="22"/>
          <w:szCs w:val="22"/>
        </w:rPr>
        <w:t xml:space="preserve"> </w:t>
      </w:r>
      <w:r w:rsidRPr="00471127">
        <w:rPr>
          <w:rStyle w:val="cf01"/>
          <w:rFonts w:ascii="Arial" w:eastAsiaTheme="majorEastAsia" w:hAnsi="Arial" w:cs="Arial"/>
          <w:sz w:val="22"/>
          <w:szCs w:val="22"/>
        </w:rPr>
        <w:t>within the Belconnen community</w:t>
      </w:r>
      <w:r w:rsidR="00816909">
        <w:rPr>
          <w:rStyle w:val="cf01"/>
          <w:rFonts w:ascii="Arial" w:eastAsiaTheme="majorEastAsia" w:hAnsi="Arial" w:cs="Arial"/>
          <w:sz w:val="22"/>
          <w:szCs w:val="22"/>
        </w:rPr>
        <w:t>. The project also aims to</w:t>
      </w:r>
      <w:r w:rsidR="006223D7" w:rsidRPr="00471127">
        <w:rPr>
          <w:rStyle w:val="cf01"/>
          <w:rFonts w:ascii="Arial" w:eastAsiaTheme="majorEastAsia" w:hAnsi="Arial" w:cs="Arial"/>
          <w:sz w:val="22"/>
          <w:szCs w:val="22"/>
        </w:rPr>
        <w:t xml:space="preserve"> embed</w:t>
      </w:r>
      <w:r w:rsidRPr="00471127">
        <w:rPr>
          <w:rStyle w:val="cf01"/>
          <w:rFonts w:ascii="Arial" w:eastAsiaTheme="majorEastAsia" w:hAnsi="Arial" w:cs="Arial"/>
          <w:sz w:val="22"/>
          <w:szCs w:val="22"/>
        </w:rPr>
        <w:t xml:space="preserve"> allied health programs</w:t>
      </w:r>
      <w:r w:rsidR="00816909">
        <w:rPr>
          <w:rStyle w:val="cf01"/>
          <w:rFonts w:ascii="Arial" w:eastAsiaTheme="majorEastAsia" w:hAnsi="Arial" w:cs="Arial"/>
          <w:sz w:val="22"/>
          <w:szCs w:val="22"/>
        </w:rPr>
        <w:t xml:space="preserve"> and </w:t>
      </w:r>
      <w:r w:rsidR="00081F7B" w:rsidRPr="00471127">
        <w:rPr>
          <w:rStyle w:val="cf01"/>
          <w:rFonts w:ascii="Arial" w:eastAsiaTheme="majorEastAsia" w:hAnsi="Arial" w:cs="Arial"/>
          <w:sz w:val="22"/>
          <w:szCs w:val="22"/>
        </w:rPr>
        <w:t xml:space="preserve">supports </w:t>
      </w:r>
      <w:r w:rsidRPr="00471127">
        <w:rPr>
          <w:rStyle w:val="cf01"/>
          <w:rFonts w:ascii="Arial" w:eastAsiaTheme="majorEastAsia" w:hAnsi="Arial" w:cs="Arial"/>
          <w:sz w:val="22"/>
          <w:szCs w:val="22"/>
        </w:rPr>
        <w:t xml:space="preserve">in </w:t>
      </w:r>
      <w:r w:rsidR="00A42EA4">
        <w:rPr>
          <w:rStyle w:val="cf01"/>
          <w:rFonts w:ascii="Arial" w:eastAsiaTheme="majorEastAsia" w:hAnsi="Arial" w:cs="Arial"/>
          <w:sz w:val="22"/>
          <w:szCs w:val="22"/>
        </w:rPr>
        <w:t xml:space="preserve">early childhood through </w:t>
      </w:r>
      <w:r w:rsidR="00081F7B" w:rsidRPr="00471127">
        <w:rPr>
          <w:rStyle w:val="cf01"/>
          <w:rFonts w:ascii="Arial" w:eastAsiaTheme="majorEastAsia" w:hAnsi="Arial" w:cs="Arial"/>
          <w:sz w:val="22"/>
          <w:szCs w:val="22"/>
        </w:rPr>
        <w:t>E</w:t>
      </w:r>
      <w:r w:rsidRPr="00471127">
        <w:rPr>
          <w:rStyle w:val="cf01"/>
          <w:rFonts w:ascii="Arial" w:eastAsiaTheme="majorEastAsia" w:hAnsi="Arial" w:cs="Arial"/>
          <w:sz w:val="22"/>
          <w:szCs w:val="22"/>
        </w:rPr>
        <w:t xml:space="preserve">arly </w:t>
      </w:r>
      <w:r w:rsidR="00081F7B" w:rsidRPr="00471127">
        <w:rPr>
          <w:rStyle w:val="cf01"/>
          <w:rFonts w:ascii="Arial" w:eastAsiaTheme="majorEastAsia" w:hAnsi="Arial" w:cs="Arial"/>
          <w:sz w:val="22"/>
          <w:szCs w:val="22"/>
        </w:rPr>
        <w:t>C</w:t>
      </w:r>
      <w:r w:rsidRPr="00471127">
        <w:rPr>
          <w:rStyle w:val="cf01"/>
          <w:rFonts w:ascii="Arial" w:eastAsiaTheme="majorEastAsia" w:hAnsi="Arial" w:cs="Arial"/>
          <w:sz w:val="22"/>
          <w:szCs w:val="22"/>
        </w:rPr>
        <w:t xml:space="preserve">hildhood </w:t>
      </w:r>
      <w:r w:rsidR="00081F7B" w:rsidRPr="00471127">
        <w:rPr>
          <w:rStyle w:val="cf01"/>
          <w:rFonts w:ascii="Arial" w:eastAsiaTheme="majorEastAsia" w:hAnsi="Arial" w:cs="Arial"/>
          <w:sz w:val="22"/>
          <w:szCs w:val="22"/>
        </w:rPr>
        <w:t>E</w:t>
      </w:r>
      <w:r w:rsidRPr="00471127">
        <w:rPr>
          <w:rStyle w:val="cf01"/>
          <w:rFonts w:ascii="Arial" w:eastAsiaTheme="majorEastAsia" w:hAnsi="Arial" w:cs="Arial"/>
          <w:sz w:val="22"/>
          <w:szCs w:val="22"/>
        </w:rPr>
        <w:t xml:space="preserve">ducation and </w:t>
      </w:r>
      <w:r w:rsidR="00081F7B" w:rsidRPr="00471127">
        <w:rPr>
          <w:rStyle w:val="cf01"/>
          <w:rFonts w:ascii="Arial" w:eastAsiaTheme="majorEastAsia" w:hAnsi="Arial" w:cs="Arial"/>
          <w:sz w:val="22"/>
          <w:szCs w:val="22"/>
        </w:rPr>
        <w:t>C</w:t>
      </w:r>
      <w:r w:rsidRPr="00471127">
        <w:rPr>
          <w:rStyle w:val="cf01"/>
          <w:rFonts w:ascii="Arial" w:eastAsiaTheme="majorEastAsia" w:hAnsi="Arial" w:cs="Arial"/>
          <w:sz w:val="22"/>
          <w:szCs w:val="22"/>
        </w:rPr>
        <w:t>are (ECEC)</w:t>
      </w:r>
      <w:r w:rsidR="00816909">
        <w:rPr>
          <w:rStyle w:val="cf01"/>
          <w:rFonts w:ascii="Arial" w:eastAsiaTheme="majorEastAsia" w:hAnsi="Arial" w:cs="Arial"/>
          <w:sz w:val="22"/>
          <w:szCs w:val="22"/>
        </w:rPr>
        <w:t xml:space="preserve"> centres</w:t>
      </w:r>
      <w:r w:rsidRPr="00471127">
        <w:rPr>
          <w:rStyle w:val="cf01"/>
          <w:rFonts w:ascii="Arial" w:eastAsiaTheme="majorEastAsia" w:hAnsi="Arial" w:cs="Arial"/>
          <w:sz w:val="22"/>
          <w:szCs w:val="22"/>
        </w:rPr>
        <w:t xml:space="preserve">, </w:t>
      </w:r>
      <w:proofErr w:type="gramStart"/>
      <w:r w:rsidRPr="00471127">
        <w:rPr>
          <w:rStyle w:val="cf01"/>
          <w:rFonts w:ascii="Arial" w:eastAsiaTheme="majorEastAsia" w:hAnsi="Arial" w:cs="Arial"/>
          <w:sz w:val="22"/>
          <w:szCs w:val="22"/>
        </w:rPr>
        <w:t>preschools</w:t>
      </w:r>
      <w:proofErr w:type="gramEnd"/>
      <w:r w:rsidRPr="00471127">
        <w:rPr>
          <w:rStyle w:val="cf01"/>
          <w:rFonts w:ascii="Arial" w:eastAsiaTheme="majorEastAsia" w:hAnsi="Arial" w:cs="Arial"/>
          <w:sz w:val="22"/>
          <w:szCs w:val="22"/>
        </w:rPr>
        <w:t xml:space="preserve"> and </w:t>
      </w:r>
      <w:r w:rsidR="006223D7">
        <w:rPr>
          <w:rStyle w:val="cf01"/>
          <w:rFonts w:ascii="Arial" w:eastAsiaTheme="majorEastAsia" w:hAnsi="Arial" w:cs="Arial"/>
          <w:sz w:val="22"/>
          <w:szCs w:val="22"/>
        </w:rPr>
        <w:t xml:space="preserve">community </w:t>
      </w:r>
      <w:r w:rsidRPr="00471127">
        <w:rPr>
          <w:rStyle w:val="cf01"/>
          <w:rFonts w:ascii="Arial" w:eastAsiaTheme="majorEastAsia" w:hAnsi="Arial" w:cs="Arial"/>
          <w:sz w:val="22"/>
          <w:szCs w:val="22"/>
        </w:rPr>
        <w:t>playgroups.</w:t>
      </w:r>
      <w:r w:rsidR="00471127" w:rsidRPr="00803F74">
        <w:rPr>
          <w:rFonts w:ascii="Arial" w:hAnsi="Arial" w:cs="Arial"/>
          <w:sz w:val="22"/>
          <w:szCs w:val="22"/>
        </w:rPr>
        <w:t xml:space="preserve"> </w:t>
      </w:r>
      <w:r w:rsidR="00501168" w:rsidRPr="00803F74">
        <w:rPr>
          <w:rFonts w:ascii="Arial" w:hAnsi="Arial" w:cs="Arial"/>
          <w:sz w:val="22"/>
          <w:szCs w:val="22"/>
        </w:rPr>
        <w:t xml:space="preserve">Suburbs in the Belconnen District who </w:t>
      </w:r>
      <w:r w:rsidR="00816909">
        <w:rPr>
          <w:rFonts w:ascii="Arial" w:hAnsi="Arial" w:cs="Arial"/>
          <w:sz w:val="22"/>
          <w:szCs w:val="22"/>
        </w:rPr>
        <w:t>had higher rates of developmental vulnerability in</w:t>
      </w:r>
      <w:r w:rsidR="00501168" w:rsidRPr="00803F74">
        <w:rPr>
          <w:rFonts w:ascii="Arial" w:hAnsi="Arial" w:cs="Arial"/>
          <w:sz w:val="22"/>
          <w:szCs w:val="22"/>
        </w:rPr>
        <w:t xml:space="preserve"> the </w:t>
      </w:r>
      <w:r w:rsidR="00D80996" w:rsidRPr="00803F74">
        <w:rPr>
          <w:rFonts w:ascii="Arial" w:hAnsi="Arial" w:cs="Arial"/>
          <w:sz w:val="22"/>
          <w:szCs w:val="22"/>
        </w:rPr>
        <w:t>2018</w:t>
      </w:r>
      <w:r w:rsidR="00501168" w:rsidRPr="00803F74">
        <w:rPr>
          <w:rFonts w:ascii="Arial" w:hAnsi="Arial" w:cs="Arial"/>
          <w:sz w:val="22"/>
          <w:szCs w:val="22"/>
        </w:rPr>
        <w:t xml:space="preserve"> </w:t>
      </w:r>
      <w:r w:rsidR="00832E59">
        <w:rPr>
          <w:rFonts w:ascii="Arial" w:hAnsi="Arial" w:cs="Arial"/>
          <w:sz w:val="22"/>
          <w:szCs w:val="22"/>
        </w:rPr>
        <w:t>AEDC</w:t>
      </w:r>
      <w:r w:rsidR="00501168" w:rsidRPr="00803F74">
        <w:rPr>
          <w:rFonts w:ascii="Arial" w:hAnsi="Arial" w:cs="Arial"/>
          <w:sz w:val="22"/>
          <w:szCs w:val="22"/>
        </w:rPr>
        <w:t xml:space="preserve"> (</w:t>
      </w:r>
      <w:r w:rsidR="00D80996" w:rsidRPr="00803F74">
        <w:rPr>
          <w:rFonts w:ascii="Arial" w:hAnsi="Arial" w:cs="Arial"/>
          <w:sz w:val="22"/>
          <w:szCs w:val="22"/>
        </w:rPr>
        <w:t xml:space="preserve">Aranda, Bruce, Charnwood, Evatt, Fraser, Hawker, Latham, </w:t>
      </w:r>
      <w:r w:rsidR="0004576B" w:rsidRPr="00803F74">
        <w:rPr>
          <w:rFonts w:ascii="Arial" w:hAnsi="Arial" w:cs="Arial"/>
          <w:sz w:val="22"/>
          <w:szCs w:val="22"/>
        </w:rPr>
        <w:t>McKellar,</w:t>
      </w:r>
      <w:r w:rsidR="00D80996" w:rsidRPr="00803F74">
        <w:rPr>
          <w:rFonts w:ascii="Arial" w:hAnsi="Arial" w:cs="Arial"/>
          <w:sz w:val="22"/>
          <w:szCs w:val="22"/>
        </w:rPr>
        <w:t xml:space="preserve"> and Scullin</w:t>
      </w:r>
      <w:r w:rsidR="00501168" w:rsidRPr="00803F74">
        <w:rPr>
          <w:rFonts w:ascii="Arial" w:hAnsi="Arial" w:cs="Arial"/>
          <w:sz w:val="22"/>
          <w:szCs w:val="22"/>
        </w:rPr>
        <w:t>) are included in the study.</w:t>
      </w:r>
      <w:r w:rsidR="002F6488">
        <w:rPr>
          <w:rFonts w:ascii="Arial" w:hAnsi="Arial" w:cs="Arial"/>
          <w:sz w:val="22"/>
          <w:szCs w:val="22"/>
        </w:rPr>
        <w:t xml:space="preserve"> </w:t>
      </w:r>
      <w:r w:rsidR="00746599">
        <w:rPr>
          <w:rFonts w:ascii="Arial" w:hAnsi="Arial" w:cs="Arial"/>
          <w:sz w:val="22"/>
          <w:szCs w:val="22"/>
        </w:rPr>
        <w:t xml:space="preserve">Across these </w:t>
      </w:r>
      <w:r w:rsidR="00F5005A">
        <w:rPr>
          <w:rFonts w:ascii="Arial" w:hAnsi="Arial" w:cs="Arial"/>
          <w:sz w:val="22"/>
          <w:szCs w:val="22"/>
        </w:rPr>
        <w:t>9</w:t>
      </w:r>
      <w:r w:rsidR="00746599">
        <w:rPr>
          <w:rFonts w:ascii="Arial" w:hAnsi="Arial" w:cs="Arial"/>
          <w:sz w:val="22"/>
          <w:szCs w:val="22"/>
        </w:rPr>
        <w:t xml:space="preserve"> suburbs</w:t>
      </w:r>
      <w:r w:rsidR="00E91F97">
        <w:rPr>
          <w:rFonts w:ascii="Arial" w:hAnsi="Arial" w:cs="Arial"/>
          <w:sz w:val="22"/>
          <w:szCs w:val="22"/>
        </w:rPr>
        <w:t>,</w:t>
      </w:r>
      <w:r w:rsidR="00746599">
        <w:rPr>
          <w:rFonts w:ascii="Arial" w:hAnsi="Arial" w:cs="Arial"/>
          <w:sz w:val="22"/>
          <w:szCs w:val="22"/>
        </w:rPr>
        <w:t xml:space="preserve"> a </w:t>
      </w:r>
      <w:r w:rsidR="005F40F0">
        <w:rPr>
          <w:rFonts w:ascii="Arial" w:hAnsi="Arial" w:cs="Arial"/>
          <w:sz w:val="22"/>
          <w:szCs w:val="22"/>
        </w:rPr>
        <w:t xml:space="preserve">much </w:t>
      </w:r>
      <w:r w:rsidR="00746599">
        <w:rPr>
          <w:rFonts w:ascii="Arial" w:hAnsi="Arial" w:cs="Arial"/>
          <w:sz w:val="22"/>
          <w:szCs w:val="22"/>
        </w:rPr>
        <w:t>high</w:t>
      </w:r>
      <w:r w:rsidR="005F40F0">
        <w:rPr>
          <w:rFonts w:ascii="Arial" w:hAnsi="Arial" w:cs="Arial"/>
          <w:sz w:val="22"/>
          <w:szCs w:val="22"/>
        </w:rPr>
        <w:t>er</w:t>
      </w:r>
      <w:r w:rsidR="00746599">
        <w:rPr>
          <w:rFonts w:ascii="Arial" w:hAnsi="Arial" w:cs="Arial"/>
          <w:sz w:val="22"/>
          <w:szCs w:val="22"/>
        </w:rPr>
        <w:t xml:space="preserve"> percentage of children were </w:t>
      </w:r>
      <w:r w:rsidR="003C1A3F">
        <w:rPr>
          <w:rFonts w:ascii="Arial" w:hAnsi="Arial" w:cs="Arial"/>
          <w:sz w:val="22"/>
          <w:szCs w:val="22"/>
        </w:rPr>
        <w:t xml:space="preserve">found to be </w:t>
      </w:r>
      <w:r w:rsidR="00B127C8">
        <w:rPr>
          <w:rFonts w:ascii="Arial" w:hAnsi="Arial" w:cs="Arial"/>
          <w:sz w:val="22"/>
          <w:szCs w:val="22"/>
        </w:rPr>
        <w:t xml:space="preserve">developmentally </w:t>
      </w:r>
      <w:r w:rsidR="00746599">
        <w:rPr>
          <w:rFonts w:ascii="Arial" w:hAnsi="Arial" w:cs="Arial"/>
          <w:sz w:val="22"/>
          <w:szCs w:val="22"/>
        </w:rPr>
        <w:t xml:space="preserve">vulnerable on </w:t>
      </w:r>
      <w:r w:rsidR="002B0218">
        <w:rPr>
          <w:rFonts w:ascii="Arial" w:hAnsi="Arial" w:cs="Arial"/>
          <w:sz w:val="22"/>
          <w:szCs w:val="22"/>
        </w:rPr>
        <w:t xml:space="preserve">one </w:t>
      </w:r>
      <w:r w:rsidR="00746599">
        <w:rPr>
          <w:rFonts w:ascii="Arial" w:hAnsi="Arial" w:cs="Arial"/>
          <w:sz w:val="22"/>
          <w:szCs w:val="22"/>
        </w:rPr>
        <w:t>or more domain</w:t>
      </w:r>
      <w:r w:rsidR="00B127C8">
        <w:rPr>
          <w:rFonts w:ascii="Arial" w:hAnsi="Arial" w:cs="Arial"/>
          <w:sz w:val="22"/>
          <w:szCs w:val="22"/>
        </w:rPr>
        <w:t>(</w:t>
      </w:r>
      <w:r w:rsidR="00746599">
        <w:rPr>
          <w:rFonts w:ascii="Arial" w:hAnsi="Arial" w:cs="Arial"/>
          <w:sz w:val="22"/>
          <w:szCs w:val="22"/>
        </w:rPr>
        <w:t>s</w:t>
      </w:r>
      <w:r w:rsidR="00B127C8">
        <w:rPr>
          <w:rFonts w:ascii="Arial" w:hAnsi="Arial" w:cs="Arial"/>
          <w:sz w:val="22"/>
          <w:szCs w:val="22"/>
        </w:rPr>
        <w:t>)</w:t>
      </w:r>
      <w:r w:rsidR="00746599">
        <w:rPr>
          <w:rFonts w:ascii="Arial" w:hAnsi="Arial" w:cs="Arial"/>
          <w:sz w:val="22"/>
          <w:szCs w:val="22"/>
        </w:rPr>
        <w:t xml:space="preserve"> in 2018 when compared to the overall percentage for the Belconnen region</w:t>
      </w:r>
      <w:r w:rsidR="00A86D57">
        <w:rPr>
          <w:rFonts w:ascii="Arial" w:hAnsi="Arial" w:cs="Arial"/>
          <w:sz w:val="22"/>
          <w:szCs w:val="22"/>
        </w:rPr>
        <w:t>.</w:t>
      </w:r>
      <w:r w:rsidR="0015376B">
        <w:rPr>
          <w:rFonts w:ascii="Arial" w:hAnsi="Arial" w:cs="Arial"/>
          <w:sz w:val="22"/>
          <w:szCs w:val="22"/>
        </w:rPr>
        <w:t xml:space="preserve"> The table below </w:t>
      </w:r>
      <w:r w:rsidR="00B548B6">
        <w:rPr>
          <w:rFonts w:ascii="Arial" w:hAnsi="Arial" w:cs="Arial"/>
          <w:sz w:val="22"/>
          <w:szCs w:val="22"/>
        </w:rPr>
        <w:t xml:space="preserve">highlights </w:t>
      </w:r>
      <w:r w:rsidR="008C0B94">
        <w:rPr>
          <w:rFonts w:ascii="Arial" w:hAnsi="Arial" w:cs="Arial"/>
          <w:sz w:val="22"/>
          <w:szCs w:val="22"/>
        </w:rPr>
        <w:t>this comparison for the project’s target suburbs.</w:t>
      </w:r>
      <w:r w:rsidR="00444BC9">
        <w:rPr>
          <w:rFonts w:ascii="Arial" w:hAnsi="Arial" w:cs="Arial"/>
          <w:sz w:val="22"/>
          <w:szCs w:val="22"/>
        </w:rPr>
        <w:t xml:space="preserve"> </w:t>
      </w:r>
      <w:r w:rsidR="00746599">
        <w:rPr>
          <w:rFonts w:ascii="Arial" w:hAnsi="Arial" w:cs="Arial"/>
          <w:sz w:val="22"/>
          <w:szCs w:val="22"/>
        </w:rPr>
        <w:t xml:space="preserve"> </w:t>
      </w:r>
      <w:r w:rsidR="00501168" w:rsidRPr="00803F74">
        <w:rPr>
          <w:rFonts w:ascii="Arial" w:hAnsi="Arial" w:cs="Arial"/>
          <w:sz w:val="22"/>
          <w:szCs w:val="22"/>
        </w:rPr>
        <w:t xml:space="preserve"> </w:t>
      </w:r>
    </w:p>
    <w:p w14:paraId="6F9668F9" w14:textId="454FF572" w:rsidR="006619D7" w:rsidRPr="00575A62" w:rsidRDefault="006619D7" w:rsidP="000B37F2">
      <w:pPr>
        <w:pStyle w:val="pf0"/>
        <w:rPr>
          <w:rFonts w:ascii="Arial" w:hAnsi="Arial" w:cs="Arial"/>
          <w:b/>
          <w:bCs/>
          <w:sz w:val="22"/>
          <w:szCs w:val="22"/>
        </w:rPr>
      </w:pPr>
      <w:r w:rsidRPr="00575A62">
        <w:rPr>
          <w:rFonts w:ascii="Arial" w:hAnsi="Arial" w:cs="Arial"/>
          <w:b/>
          <w:bCs/>
          <w:sz w:val="22"/>
          <w:szCs w:val="22"/>
        </w:rPr>
        <w:t xml:space="preserve">2018 </w:t>
      </w:r>
      <w:r w:rsidR="006C372D" w:rsidRPr="00575A62">
        <w:rPr>
          <w:rFonts w:ascii="Arial" w:hAnsi="Arial" w:cs="Arial"/>
          <w:b/>
          <w:bCs/>
          <w:sz w:val="22"/>
          <w:szCs w:val="22"/>
        </w:rPr>
        <w:t>percentage</w:t>
      </w:r>
      <w:r w:rsidRPr="00575A62">
        <w:rPr>
          <w:rFonts w:ascii="Arial" w:hAnsi="Arial" w:cs="Arial"/>
          <w:b/>
          <w:bCs/>
          <w:sz w:val="22"/>
          <w:szCs w:val="22"/>
        </w:rPr>
        <w:t xml:space="preserve"> of children </w:t>
      </w:r>
      <w:r w:rsidR="006C372D" w:rsidRPr="00575A62">
        <w:rPr>
          <w:rFonts w:ascii="Arial" w:hAnsi="Arial" w:cs="Arial"/>
          <w:b/>
          <w:bCs/>
          <w:sz w:val="22"/>
          <w:szCs w:val="22"/>
        </w:rPr>
        <w:t>developmentally vulnerable on one or more domain</w:t>
      </w:r>
      <w:r w:rsidR="006C372D" w:rsidRPr="00816909">
        <w:rPr>
          <w:rFonts w:ascii="Arial" w:hAnsi="Arial" w:cs="Arial"/>
          <w:b/>
          <w:bCs/>
          <w:sz w:val="22"/>
          <w:szCs w:val="22"/>
        </w:rPr>
        <w:t>(s)</w:t>
      </w:r>
      <w:r w:rsidR="00575A62">
        <w:rPr>
          <w:rFonts w:ascii="Arial" w:hAnsi="Arial" w:cs="Arial"/>
          <w:b/>
          <w:bCs/>
          <w:sz w:val="22"/>
          <w:szCs w:val="22"/>
        </w:rPr>
        <w:t xml:space="preserve"> in selected Belconnen suburbs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1008"/>
        <w:gridCol w:w="1426"/>
        <w:gridCol w:w="997"/>
        <w:gridCol w:w="1017"/>
        <w:gridCol w:w="1034"/>
        <w:gridCol w:w="1032"/>
        <w:gridCol w:w="1134"/>
        <w:gridCol w:w="1019"/>
      </w:tblGrid>
      <w:tr w:rsidR="00366C41" w14:paraId="44D0CC31" w14:textId="77777777" w:rsidTr="00B127C8">
        <w:trPr>
          <w:jc w:val="center"/>
        </w:trPr>
        <w:tc>
          <w:tcPr>
            <w:tcW w:w="954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C7F9053" w14:textId="685DB2AC" w:rsidR="00366C41" w:rsidRDefault="00366C41" w:rsidP="00852C5D">
            <w:pPr>
              <w:pStyle w:val="pf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27C8">
              <w:rPr>
                <w:rFonts w:ascii="Arial" w:hAnsi="Arial" w:cs="Arial"/>
                <w:b/>
                <w:bCs/>
                <w:sz w:val="22"/>
                <w:szCs w:val="22"/>
              </w:rPr>
              <w:t>Belconnen</w:t>
            </w:r>
            <w:r>
              <w:rPr>
                <w:rFonts w:ascii="Arial" w:hAnsi="Arial" w:cs="Arial"/>
                <w:sz w:val="22"/>
                <w:szCs w:val="22"/>
              </w:rPr>
              <w:t xml:space="preserve"> – 26.4%</w:t>
            </w:r>
            <w:r w:rsidR="00A83551">
              <w:rPr>
                <w:rFonts w:ascii="Arial" w:hAnsi="Arial" w:cs="Arial"/>
                <w:sz w:val="22"/>
                <w:szCs w:val="22"/>
              </w:rPr>
              <w:t xml:space="preserve"> (AEDC 2018)</w:t>
            </w:r>
          </w:p>
        </w:tc>
      </w:tr>
      <w:tr w:rsidR="00BB4761" w14:paraId="7BD8654F" w14:textId="77777777" w:rsidTr="00B127C8">
        <w:trPr>
          <w:jc w:val="center"/>
        </w:trPr>
        <w:tc>
          <w:tcPr>
            <w:tcW w:w="1027" w:type="dxa"/>
            <w:tcBorders>
              <w:top w:val="single" w:sz="4" w:space="0" w:color="auto"/>
            </w:tcBorders>
          </w:tcPr>
          <w:p w14:paraId="53596C70" w14:textId="5447EF1A" w:rsidR="00BB4761" w:rsidRPr="00B127C8" w:rsidRDefault="00BB4761" w:rsidP="00DB7694">
            <w:pPr>
              <w:pStyle w:val="pf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27C8">
              <w:rPr>
                <w:rFonts w:ascii="Arial" w:hAnsi="Arial" w:cs="Arial"/>
                <w:b/>
                <w:bCs/>
                <w:sz w:val="22"/>
                <w:szCs w:val="22"/>
              </w:rPr>
              <w:t>Aranda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14:paraId="28A1F0F6" w14:textId="53F36FC4" w:rsidR="00BB4761" w:rsidRPr="00B127C8" w:rsidRDefault="00BB4761" w:rsidP="00DB7694">
            <w:pPr>
              <w:pStyle w:val="pf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27C8">
              <w:rPr>
                <w:rFonts w:ascii="Arial" w:hAnsi="Arial" w:cs="Arial"/>
                <w:b/>
                <w:bCs/>
                <w:sz w:val="22"/>
                <w:szCs w:val="22"/>
              </w:rPr>
              <w:t>Bruce</w:t>
            </w:r>
          </w:p>
        </w:tc>
        <w:tc>
          <w:tcPr>
            <w:tcW w:w="1342" w:type="dxa"/>
            <w:tcBorders>
              <w:top w:val="single" w:sz="4" w:space="0" w:color="auto"/>
            </w:tcBorders>
          </w:tcPr>
          <w:p w14:paraId="67A5D2E6" w14:textId="29BCD158" w:rsidR="00BB4761" w:rsidRPr="00B127C8" w:rsidRDefault="00BB4761" w:rsidP="00DB7694">
            <w:pPr>
              <w:pStyle w:val="pf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27C8">
              <w:rPr>
                <w:rFonts w:ascii="Arial" w:hAnsi="Arial" w:cs="Arial"/>
                <w:b/>
                <w:bCs/>
                <w:sz w:val="22"/>
                <w:szCs w:val="22"/>
              </w:rPr>
              <w:t>Charnwood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14:paraId="5F98B0F9" w14:textId="110AC9E4" w:rsidR="00BB4761" w:rsidRPr="00B127C8" w:rsidRDefault="00BB4761" w:rsidP="00DB7694">
            <w:pPr>
              <w:pStyle w:val="pf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27C8">
              <w:rPr>
                <w:rFonts w:ascii="Arial" w:hAnsi="Arial" w:cs="Arial"/>
                <w:b/>
                <w:bCs/>
                <w:sz w:val="22"/>
                <w:szCs w:val="22"/>
              </w:rPr>
              <w:t>Evatt</w:t>
            </w:r>
          </w:p>
        </w:tc>
        <w:tc>
          <w:tcPr>
            <w:tcW w:w="1017" w:type="dxa"/>
            <w:tcBorders>
              <w:top w:val="single" w:sz="4" w:space="0" w:color="auto"/>
            </w:tcBorders>
          </w:tcPr>
          <w:p w14:paraId="7FCA1E1D" w14:textId="3B80AF5F" w:rsidR="00BB4761" w:rsidRPr="00B127C8" w:rsidRDefault="00BB4761" w:rsidP="00DB7694">
            <w:pPr>
              <w:pStyle w:val="pf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27C8">
              <w:rPr>
                <w:rFonts w:ascii="Arial" w:hAnsi="Arial" w:cs="Arial"/>
                <w:b/>
                <w:bCs/>
                <w:sz w:val="22"/>
                <w:szCs w:val="22"/>
              </w:rPr>
              <w:t>Fraser</w:t>
            </w:r>
          </w:p>
        </w:tc>
        <w:tc>
          <w:tcPr>
            <w:tcW w:w="1034" w:type="dxa"/>
            <w:tcBorders>
              <w:top w:val="single" w:sz="4" w:space="0" w:color="auto"/>
            </w:tcBorders>
          </w:tcPr>
          <w:p w14:paraId="07F240B0" w14:textId="47D2FF26" w:rsidR="00BB4761" w:rsidRPr="00B127C8" w:rsidRDefault="00BB4761" w:rsidP="00DB7694">
            <w:pPr>
              <w:pStyle w:val="pf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27C8">
              <w:rPr>
                <w:rFonts w:ascii="Arial" w:hAnsi="Arial" w:cs="Arial"/>
                <w:b/>
                <w:bCs/>
                <w:sz w:val="22"/>
                <w:szCs w:val="22"/>
              </w:rPr>
              <w:t>Hawker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14:paraId="73A8670B" w14:textId="7EAED2C2" w:rsidR="00BB4761" w:rsidRPr="00B127C8" w:rsidRDefault="00BB4761" w:rsidP="00DB7694">
            <w:pPr>
              <w:pStyle w:val="pf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27C8">
              <w:rPr>
                <w:rFonts w:ascii="Arial" w:hAnsi="Arial" w:cs="Arial"/>
                <w:b/>
                <w:bCs/>
                <w:sz w:val="22"/>
                <w:szCs w:val="22"/>
              </w:rPr>
              <w:t>Latham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14:paraId="1E85F94C" w14:textId="0B05EDE5" w:rsidR="00BB4761" w:rsidRPr="00B127C8" w:rsidRDefault="00BB4761" w:rsidP="00DB7694">
            <w:pPr>
              <w:pStyle w:val="pf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27C8">
              <w:rPr>
                <w:rFonts w:ascii="Arial" w:hAnsi="Arial" w:cs="Arial"/>
                <w:b/>
                <w:bCs/>
                <w:sz w:val="22"/>
                <w:szCs w:val="22"/>
              </w:rPr>
              <w:t>McKellar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14:paraId="14B9AC75" w14:textId="2648B587" w:rsidR="00BB4761" w:rsidRPr="00B127C8" w:rsidRDefault="00BB4761" w:rsidP="00DB7694">
            <w:pPr>
              <w:pStyle w:val="pf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27C8">
              <w:rPr>
                <w:rFonts w:ascii="Arial" w:hAnsi="Arial" w:cs="Arial"/>
                <w:b/>
                <w:bCs/>
                <w:sz w:val="22"/>
                <w:szCs w:val="22"/>
              </w:rPr>
              <w:t>Scullin</w:t>
            </w:r>
          </w:p>
        </w:tc>
      </w:tr>
      <w:tr w:rsidR="00BB4761" w14:paraId="05E1083E" w14:textId="77777777" w:rsidTr="00B127C8">
        <w:trPr>
          <w:jc w:val="center"/>
        </w:trPr>
        <w:tc>
          <w:tcPr>
            <w:tcW w:w="1027" w:type="dxa"/>
            <w:tcBorders>
              <w:bottom w:val="single" w:sz="4" w:space="0" w:color="auto"/>
            </w:tcBorders>
          </w:tcPr>
          <w:p w14:paraId="3C46F8DF" w14:textId="756E8AE0" w:rsidR="00BB4761" w:rsidRDefault="00BB4761" w:rsidP="00DB7694">
            <w:pPr>
              <w:pStyle w:val="pf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30.3%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09C644BA" w14:textId="55E6EB0E" w:rsidR="00BB4761" w:rsidRDefault="00495C0E" w:rsidP="00DB7694">
            <w:pPr>
              <w:pStyle w:val="pf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27.9%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14:paraId="16475283" w14:textId="4C69FBB0" w:rsidR="00BB4761" w:rsidRDefault="00495C0E" w:rsidP="00DB7694">
            <w:pPr>
              <w:pStyle w:val="pf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32.6</w:t>
            </w:r>
            <w:r w:rsidR="003D1D43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4935353E" w14:textId="35B21ED2" w:rsidR="00BB4761" w:rsidRDefault="00495C0E" w:rsidP="00DB7694">
            <w:pPr>
              <w:pStyle w:val="pf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40.8</w:t>
            </w:r>
            <w:r w:rsidR="001F66A3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14:paraId="19487A92" w14:textId="326BCB21" w:rsidR="00BB4761" w:rsidRDefault="00495C0E" w:rsidP="00DB7694">
            <w:pPr>
              <w:pStyle w:val="pf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43.3</w:t>
            </w:r>
            <w:r w:rsidR="001F66A3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14:paraId="0C92EDDC" w14:textId="76CBD216" w:rsidR="00BB4761" w:rsidRDefault="00495C0E" w:rsidP="00DB7694">
            <w:pPr>
              <w:pStyle w:val="pf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44.4</w:t>
            </w:r>
            <w:r w:rsidR="001F66A3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14:paraId="7BBBDAF3" w14:textId="5352293D" w:rsidR="00BB4761" w:rsidRDefault="00495C0E" w:rsidP="00DB7694">
            <w:pPr>
              <w:pStyle w:val="pf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40.8</w:t>
            </w:r>
            <w:r w:rsidR="001F66A3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14:paraId="70CB87CC" w14:textId="6CFBC40D" w:rsidR="00BB4761" w:rsidRDefault="00495C0E" w:rsidP="00DB7694">
            <w:pPr>
              <w:pStyle w:val="pf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31.4</w:t>
            </w:r>
            <w:r w:rsidR="001F66A3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14:paraId="4B259020" w14:textId="5B4CE5E0" w:rsidR="00BB4761" w:rsidRDefault="00495C0E" w:rsidP="00DB7694">
            <w:pPr>
              <w:pStyle w:val="pf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36.8</w:t>
            </w:r>
            <w:r w:rsidR="001F66A3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</w:tbl>
    <w:p w14:paraId="2A517A00" w14:textId="25406B9B" w:rsidR="00AE2A05" w:rsidRDefault="00AE2A05" w:rsidP="00AE2A05">
      <w:pPr>
        <w:pStyle w:val="AEDCHeading1"/>
      </w:pPr>
      <w:r>
        <w:t xml:space="preserve">Achievements </w:t>
      </w:r>
    </w:p>
    <w:p w14:paraId="788A384C" w14:textId="27B3D146" w:rsidR="00081F7B" w:rsidRDefault="00C94104" w:rsidP="00081F7B">
      <w:pPr>
        <w:jc w:val="both"/>
      </w:pPr>
      <w:r>
        <w:t xml:space="preserve">Since </w:t>
      </w:r>
      <w:r w:rsidR="009D3EFC">
        <w:t xml:space="preserve">2020, </w:t>
      </w:r>
      <w:r>
        <w:t>a</w:t>
      </w:r>
      <w:r w:rsidR="00081F7B">
        <w:t xml:space="preserve"> range of place-based services and activities were offered</w:t>
      </w:r>
      <w:r w:rsidR="00816909">
        <w:t xml:space="preserve"> as part of the ‘Good Start in Life’ project</w:t>
      </w:r>
      <w:r w:rsidR="00081F7B">
        <w:t xml:space="preserve"> to support ECEC</w:t>
      </w:r>
      <w:r w:rsidR="00816909">
        <w:t xml:space="preserve"> centres,</w:t>
      </w:r>
      <w:r w:rsidR="00081F7B">
        <w:t xml:space="preserve"> </w:t>
      </w:r>
      <w:proofErr w:type="gramStart"/>
      <w:r w:rsidR="00081F7B">
        <w:t>playgroups</w:t>
      </w:r>
      <w:proofErr w:type="gramEnd"/>
      <w:r w:rsidR="00081F7B">
        <w:t xml:space="preserve"> and families in the target </w:t>
      </w:r>
      <w:r>
        <w:t xml:space="preserve">Belconnen </w:t>
      </w:r>
      <w:r w:rsidR="00081F7B">
        <w:t>suburbs</w:t>
      </w:r>
      <w:r w:rsidR="0056722A">
        <w:t>.</w:t>
      </w:r>
      <w:r w:rsidR="00081F7B">
        <w:t xml:space="preserve"> </w:t>
      </w:r>
      <w:r w:rsidR="0056722A">
        <w:t>T</w:t>
      </w:r>
      <w:r w:rsidR="00081F7B">
        <w:t>hese included the following</w:t>
      </w:r>
      <w:r w:rsidR="00803F74">
        <w:t>:</w:t>
      </w:r>
    </w:p>
    <w:p w14:paraId="699EBF2E" w14:textId="77777777" w:rsidR="00081F7B" w:rsidRPr="00DB3839" w:rsidRDefault="00081F7B" w:rsidP="00081F7B">
      <w:pPr>
        <w:jc w:val="both"/>
        <w:rPr>
          <w:i/>
          <w:iCs/>
        </w:rPr>
      </w:pPr>
      <w:r w:rsidRPr="00DB3839">
        <w:rPr>
          <w:i/>
          <w:iCs/>
        </w:rPr>
        <w:t>Good Start in Life Active Play</w:t>
      </w:r>
    </w:p>
    <w:p w14:paraId="0A19466B" w14:textId="5D044A73" w:rsidR="00081F7B" w:rsidRDefault="00081F7B" w:rsidP="00081F7B">
      <w:pPr>
        <w:jc w:val="both"/>
      </w:pPr>
      <w:r>
        <w:t xml:space="preserve">The Good Start in Life Active Play </w:t>
      </w:r>
      <w:r w:rsidR="004B5D05">
        <w:t>programme provided</w:t>
      </w:r>
      <w:r w:rsidR="00DE2915">
        <w:t xml:space="preserve"> training to early childhood educators to enable them</w:t>
      </w:r>
      <w:r>
        <w:t xml:space="preserve"> to feel confident to promote active play and teach fundamental movement skills to </w:t>
      </w:r>
      <w:r w:rsidR="00786520">
        <w:t>3–5</w:t>
      </w:r>
      <w:r w:rsidR="00B242A1">
        <w:t xml:space="preserve"> </w:t>
      </w:r>
      <w:r w:rsidR="00786520">
        <w:t>year-old</w:t>
      </w:r>
      <w:r>
        <w:t xml:space="preserve"> children. </w:t>
      </w:r>
    </w:p>
    <w:p w14:paraId="06AF3045" w14:textId="77777777" w:rsidR="00081F7B" w:rsidRPr="00DB3839" w:rsidRDefault="00081F7B" w:rsidP="00081F7B">
      <w:pPr>
        <w:jc w:val="both"/>
        <w:rPr>
          <w:i/>
          <w:iCs/>
        </w:rPr>
      </w:pPr>
      <w:r w:rsidRPr="00DB3839">
        <w:rPr>
          <w:i/>
          <w:iCs/>
        </w:rPr>
        <w:t xml:space="preserve">Outreach Allied Health </w:t>
      </w:r>
    </w:p>
    <w:p w14:paraId="09DB7FCA" w14:textId="14FB184D" w:rsidR="00081F7B" w:rsidRDefault="00081F7B" w:rsidP="00081F7B">
      <w:pPr>
        <w:rPr>
          <w:lang w:val="en-GB"/>
        </w:rPr>
      </w:pPr>
      <w:r>
        <w:rPr>
          <w:lang w:val="en-GB"/>
        </w:rPr>
        <w:t>Clinical educators and their students in occupational therapy, speech pathology and health undertook their placements in ECEC</w:t>
      </w:r>
      <w:r w:rsidR="00816909">
        <w:rPr>
          <w:lang w:val="en-GB"/>
        </w:rPr>
        <w:t xml:space="preserve"> centre</w:t>
      </w:r>
      <w:r>
        <w:rPr>
          <w:lang w:val="en-GB"/>
        </w:rPr>
        <w:t>s and playgroups in the target suburbs</w:t>
      </w:r>
      <w:r w:rsidR="00786520">
        <w:rPr>
          <w:lang w:val="en-GB"/>
        </w:rPr>
        <w:t>,</w:t>
      </w:r>
      <w:r>
        <w:rPr>
          <w:lang w:val="en-GB"/>
        </w:rPr>
        <w:t xml:space="preserve"> providing directors and educators, playgroup coordinators and families with information, as well as support and mentoring to recognise potential developmental delays and to </w:t>
      </w:r>
      <w:r w:rsidR="004B7EA8">
        <w:rPr>
          <w:lang w:val="en-GB"/>
        </w:rPr>
        <w:t xml:space="preserve">promote </w:t>
      </w:r>
      <w:r>
        <w:rPr>
          <w:lang w:val="en-GB"/>
        </w:rPr>
        <w:t xml:space="preserve">access </w:t>
      </w:r>
      <w:r w:rsidR="004B7EA8">
        <w:rPr>
          <w:lang w:val="en-GB"/>
        </w:rPr>
        <w:t xml:space="preserve">to </w:t>
      </w:r>
      <w:r>
        <w:rPr>
          <w:lang w:val="en-GB"/>
        </w:rPr>
        <w:t xml:space="preserve">community and health services available in Belconnen.   </w:t>
      </w:r>
    </w:p>
    <w:p w14:paraId="44C22F1D" w14:textId="14E4C3AF" w:rsidR="00081F7B" w:rsidRDefault="00081F7B" w:rsidP="00081F7B">
      <w:pPr>
        <w:jc w:val="both"/>
      </w:pPr>
      <w:r>
        <w:rPr>
          <w:lang w:val="en-GB"/>
        </w:rPr>
        <w:t xml:space="preserve">The project team has </w:t>
      </w:r>
      <w:r w:rsidR="00C94104">
        <w:rPr>
          <w:lang w:val="en-GB"/>
        </w:rPr>
        <w:t>2</w:t>
      </w:r>
      <w:r>
        <w:rPr>
          <w:lang w:val="en-GB"/>
        </w:rPr>
        <w:t xml:space="preserve"> occupational therapists and </w:t>
      </w:r>
      <w:r w:rsidR="00C94104">
        <w:rPr>
          <w:lang w:val="en-GB"/>
        </w:rPr>
        <w:t>2</w:t>
      </w:r>
      <w:r>
        <w:rPr>
          <w:lang w:val="en-GB"/>
        </w:rPr>
        <w:t xml:space="preserve"> speech pathologists who </w:t>
      </w:r>
      <w:r w:rsidR="00786520">
        <w:rPr>
          <w:lang w:val="en-GB"/>
        </w:rPr>
        <w:t>can</w:t>
      </w:r>
      <w:r>
        <w:rPr>
          <w:lang w:val="en-GB"/>
        </w:rPr>
        <w:t xml:space="preserve"> provide workshops and </w:t>
      </w:r>
      <w:r w:rsidR="00786520">
        <w:rPr>
          <w:lang w:val="en-GB"/>
        </w:rPr>
        <w:t>on-site</w:t>
      </w:r>
      <w:r>
        <w:rPr>
          <w:lang w:val="en-GB"/>
        </w:rPr>
        <w:t xml:space="preserve"> coaching to ECEC</w:t>
      </w:r>
      <w:r w:rsidR="00816909">
        <w:rPr>
          <w:lang w:val="en-GB"/>
        </w:rPr>
        <w:t xml:space="preserve"> centre</w:t>
      </w:r>
      <w:r>
        <w:rPr>
          <w:lang w:val="en-GB"/>
        </w:rPr>
        <w:t xml:space="preserve"> directors and educators.</w:t>
      </w:r>
    </w:p>
    <w:p w14:paraId="6896575B" w14:textId="77777777" w:rsidR="00081F7B" w:rsidRDefault="00081F7B" w:rsidP="00081F7B">
      <w:pPr>
        <w:jc w:val="both"/>
        <w:rPr>
          <w:i/>
          <w:iCs/>
        </w:rPr>
      </w:pPr>
      <w:r w:rsidRPr="00A3190F">
        <w:rPr>
          <w:i/>
          <w:iCs/>
        </w:rPr>
        <w:t>Family</w:t>
      </w:r>
      <w:r>
        <w:rPr>
          <w:i/>
          <w:iCs/>
        </w:rPr>
        <w:t xml:space="preserve"> and Community</w:t>
      </w:r>
      <w:r w:rsidRPr="00A3190F">
        <w:rPr>
          <w:i/>
          <w:iCs/>
        </w:rPr>
        <w:t xml:space="preserve"> Liaison Coordinator </w:t>
      </w:r>
    </w:p>
    <w:p w14:paraId="6AA22682" w14:textId="69CA8464" w:rsidR="00081F7B" w:rsidRDefault="00081F7B" w:rsidP="00081F7B">
      <w:pPr>
        <w:jc w:val="both"/>
        <w:rPr>
          <w:lang w:val="en-GB"/>
        </w:rPr>
      </w:pPr>
      <w:r>
        <w:rPr>
          <w:lang w:val="en-GB"/>
        </w:rPr>
        <w:t xml:space="preserve">The family and community liaison coordinator worked with families to </w:t>
      </w:r>
      <w:r w:rsidRPr="00853A65">
        <w:rPr>
          <w:lang w:val="en-GB"/>
        </w:rPr>
        <w:t xml:space="preserve">provide support </w:t>
      </w:r>
      <w:r>
        <w:rPr>
          <w:lang w:val="en-GB"/>
        </w:rPr>
        <w:t>in</w:t>
      </w:r>
      <w:r w:rsidRPr="00853A65">
        <w:rPr>
          <w:lang w:val="en-GB"/>
        </w:rPr>
        <w:t xml:space="preserve"> access</w:t>
      </w:r>
      <w:r>
        <w:rPr>
          <w:lang w:val="en-GB"/>
        </w:rPr>
        <w:t>ing</w:t>
      </w:r>
      <w:r w:rsidRPr="00853A65">
        <w:rPr>
          <w:lang w:val="en-GB"/>
        </w:rPr>
        <w:t xml:space="preserve"> and navigat</w:t>
      </w:r>
      <w:r>
        <w:rPr>
          <w:lang w:val="en-GB"/>
        </w:rPr>
        <w:t>ing</w:t>
      </w:r>
      <w:r w:rsidRPr="00853A65">
        <w:rPr>
          <w:lang w:val="en-GB"/>
        </w:rPr>
        <w:t xml:space="preserve"> the often-complex system of health and community services available.</w:t>
      </w:r>
      <w:r w:rsidR="00786520">
        <w:rPr>
          <w:lang w:val="en-GB"/>
        </w:rPr>
        <w:t xml:space="preserve"> </w:t>
      </w:r>
    </w:p>
    <w:p w14:paraId="69AC2B01" w14:textId="22348D42" w:rsidR="00081F7B" w:rsidRPr="00EB5148" w:rsidRDefault="00081F7B" w:rsidP="00081F7B">
      <w:pPr>
        <w:jc w:val="both"/>
        <w:rPr>
          <w:lang w:val="en-GB"/>
        </w:rPr>
      </w:pPr>
      <w:r>
        <w:rPr>
          <w:lang w:val="en-GB"/>
        </w:rPr>
        <w:t>The coordinator formed relationships with key support services and created a “directory of services” that could be easily shared with</w:t>
      </w:r>
      <w:r w:rsidR="00816909">
        <w:rPr>
          <w:lang w:val="en-GB"/>
        </w:rPr>
        <w:t xml:space="preserve"> ECEC centre</w:t>
      </w:r>
      <w:r>
        <w:rPr>
          <w:lang w:val="en-GB"/>
        </w:rPr>
        <w:t xml:space="preserve"> directors, </w:t>
      </w:r>
      <w:r w:rsidR="00786520">
        <w:rPr>
          <w:lang w:val="en-GB"/>
        </w:rPr>
        <w:t>educators,</w:t>
      </w:r>
      <w:r>
        <w:rPr>
          <w:lang w:val="en-GB"/>
        </w:rPr>
        <w:t xml:space="preserve"> and playgroup coordinators when they had questions or concerns about children’s </w:t>
      </w:r>
      <w:r w:rsidR="00C0443B">
        <w:rPr>
          <w:lang w:val="en-GB"/>
        </w:rPr>
        <w:t>development</w:t>
      </w:r>
      <w:r w:rsidR="00DE2915">
        <w:rPr>
          <w:lang w:val="en-GB"/>
        </w:rPr>
        <w:t>.</w:t>
      </w:r>
      <w:r w:rsidR="00C0443B">
        <w:rPr>
          <w:lang w:val="en-GB"/>
        </w:rPr>
        <w:t xml:space="preserve"> </w:t>
      </w:r>
      <w:r>
        <w:rPr>
          <w:lang w:val="en-GB"/>
        </w:rPr>
        <w:t xml:space="preserve"> </w:t>
      </w:r>
      <w:r w:rsidR="00FE75A2">
        <w:rPr>
          <w:lang w:val="en-GB"/>
        </w:rPr>
        <w:t xml:space="preserve">In addition, the coordinator was available to </w:t>
      </w:r>
      <w:r>
        <w:rPr>
          <w:lang w:val="en-GB"/>
        </w:rPr>
        <w:t>attend staff meetings or mentor individual staff to share the information from the AEDC data and the supports the project w</w:t>
      </w:r>
      <w:r w:rsidR="00786520">
        <w:rPr>
          <w:lang w:val="en-GB"/>
        </w:rPr>
        <w:t>as</w:t>
      </w:r>
      <w:r>
        <w:rPr>
          <w:lang w:val="en-GB"/>
        </w:rPr>
        <w:t xml:space="preserve"> able to offer.</w:t>
      </w:r>
    </w:p>
    <w:p w14:paraId="0CFAC724" w14:textId="5B7E6D5E" w:rsidR="00081F7B" w:rsidRPr="000D670F" w:rsidRDefault="00081F7B" w:rsidP="00081F7B">
      <w:pPr>
        <w:jc w:val="both"/>
        <w:rPr>
          <w:i/>
          <w:iCs/>
        </w:rPr>
      </w:pPr>
      <w:r w:rsidRPr="000D670F">
        <w:rPr>
          <w:i/>
          <w:iCs/>
        </w:rPr>
        <w:lastRenderedPageBreak/>
        <w:t>Loose Parts Play ‘Pop Ups’</w:t>
      </w:r>
    </w:p>
    <w:p w14:paraId="0BB67AA3" w14:textId="46CDE9B4" w:rsidR="00081F7B" w:rsidRDefault="00081F7B" w:rsidP="00081F7B">
      <w:r>
        <w:t xml:space="preserve">A series of “pop up” loose parts play sessions were held at Belconnen parks with </w:t>
      </w:r>
      <w:r w:rsidR="00786520">
        <w:t xml:space="preserve">supporting </w:t>
      </w:r>
      <w:r>
        <w:t>attendance from speech</w:t>
      </w:r>
      <w:r w:rsidR="000451AC">
        <w:t xml:space="preserve"> </w:t>
      </w:r>
      <w:r w:rsidR="00874E24">
        <w:t>pathology and</w:t>
      </w:r>
      <w:r>
        <w:t xml:space="preserve"> occupational </w:t>
      </w:r>
      <w:r w:rsidR="00874E24">
        <w:t xml:space="preserve">therapy </w:t>
      </w:r>
      <w:r>
        <w:t xml:space="preserve">students. Loose parts play involves providing children with open-ended materials to stimulate their creativity and imagination. These sessions were successful in engaging local families, promoting strategies to support children’s </w:t>
      </w:r>
      <w:r w:rsidR="00417338">
        <w:t>development,</w:t>
      </w:r>
      <w:r>
        <w:t xml:space="preserve"> and linking parents and caregivers with services. </w:t>
      </w:r>
    </w:p>
    <w:p w14:paraId="5EF2487F" w14:textId="4C83B4C7" w:rsidR="007D671E" w:rsidRDefault="00610EA8" w:rsidP="006F460A">
      <w:r>
        <w:t xml:space="preserve">As mentioned above, </w:t>
      </w:r>
      <w:r w:rsidR="00F5005A">
        <w:t xml:space="preserve">there was a </w:t>
      </w:r>
      <w:r w:rsidR="00B21807">
        <w:t>significant</w:t>
      </w:r>
      <w:r w:rsidR="00F5005A">
        <w:t xml:space="preserve"> increase in the percentage of children developmentally vulnerable on </w:t>
      </w:r>
      <w:r w:rsidR="0087296D">
        <w:t>one</w:t>
      </w:r>
      <w:r w:rsidR="00F5005A">
        <w:t xml:space="preserve"> or more domain</w:t>
      </w:r>
      <w:r w:rsidRPr="00816909">
        <w:t>(</w:t>
      </w:r>
      <w:r w:rsidR="00046045" w:rsidRPr="00816909">
        <w:t>s</w:t>
      </w:r>
      <w:r w:rsidRPr="00816909">
        <w:t>)</w:t>
      </w:r>
      <w:r w:rsidR="00F5005A">
        <w:t xml:space="preserve"> in Belconnen</w:t>
      </w:r>
      <w:r w:rsidR="004F5BA4">
        <w:t xml:space="preserve"> </w:t>
      </w:r>
      <w:r>
        <w:t xml:space="preserve">between 2018 and 2021 </w:t>
      </w:r>
      <w:r w:rsidR="004F5BA4">
        <w:t>from 26.4% to 30.5%</w:t>
      </w:r>
      <w:r w:rsidR="00F5005A">
        <w:t>. However, o</w:t>
      </w:r>
      <w:r w:rsidR="005A69EE">
        <w:t xml:space="preserve">f the 9 </w:t>
      </w:r>
      <w:r w:rsidR="00874E24">
        <w:t xml:space="preserve">Belconnen </w:t>
      </w:r>
      <w:r w:rsidR="005A69EE">
        <w:t xml:space="preserve">target suburbs </w:t>
      </w:r>
      <w:r w:rsidR="00FE2D67">
        <w:t xml:space="preserve">used in the </w:t>
      </w:r>
      <w:r w:rsidR="00816909">
        <w:t>‘</w:t>
      </w:r>
      <w:r w:rsidR="006F460A">
        <w:t>Good Start in Life</w:t>
      </w:r>
      <w:r w:rsidR="00816909">
        <w:t>’</w:t>
      </w:r>
      <w:r w:rsidR="00FE2D67">
        <w:t xml:space="preserve"> project</w:t>
      </w:r>
      <w:r w:rsidR="005A69EE">
        <w:t xml:space="preserve">, 6 </w:t>
      </w:r>
      <w:r w:rsidR="00816909">
        <w:t xml:space="preserve">saw </w:t>
      </w:r>
      <w:r w:rsidR="005A69EE">
        <w:t>a decrease in the percentage of children developmentally vulnerable</w:t>
      </w:r>
      <w:r w:rsidR="001C475E">
        <w:t xml:space="preserve"> over this time</w:t>
      </w:r>
      <w:r w:rsidR="00B21807">
        <w:t xml:space="preserve">. </w:t>
      </w:r>
      <w:r w:rsidR="00046045">
        <w:t xml:space="preserve">These decreases in developmental vulnerability were statistically significant in Hawker, Latham, </w:t>
      </w:r>
      <w:proofErr w:type="gramStart"/>
      <w:r w:rsidR="00046045">
        <w:t>McKellar</w:t>
      </w:r>
      <w:proofErr w:type="gramEnd"/>
      <w:r w:rsidR="00046045">
        <w:t xml:space="preserve"> and Scullin. </w:t>
      </w:r>
      <w:r w:rsidR="00B21807">
        <w:t xml:space="preserve">This is possibly </w:t>
      </w:r>
      <w:r w:rsidR="003D6D1A">
        <w:t xml:space="preserve">an early </w:t>
      </w:r>
      <w:r w:rsidR="00B21807">
        <w:t>indicati</w:t>
      </w:r>
      <w:r w:rsidR="003D6D1A">
        <w:t>on</w:t>
      </w:r>
      <w:r w:rsidR="00B21807">
        <w:t xml:space="preserve"> of </w:t>
      </w:r>
      <w:r w:rsidR="003D6D1A">
        <w:t>the</w:t>
      </w:r>
      <w:r w:rsidR="00B21807">
        <w:t xml:space="preserve"> progress that the </w:t>
      </w:r>
      <w:r w:rsidR="00816909">
        <w:t>‘</w:t>
      </w:r>
      <w:r w:rsidR="00B21807">
        <w:t>Good Start in Life</w:t>
      </w:r>
      <w:r w:rsidR="00816909">
        <w:t>’</w:t>
      </w:r>
      <w:r w:rsidR="00B21807">
        <w:t xml:space="preserve"> programs are making in improving outcomes for local children. </w:t>
      </w:r>
    </w:p>
    <w:p w14:paraId="390B22FA" w14:textId="77777777" w:rsidR="00AE2A05" w:rsidRDefault="00AE2A05" w:rsidP="00AE2A05">
      <w:pPr>
        <w:pStyle w:val="AEDCHeading1"/>
      </w:pPr>
      <w:r>
        <w:t>Looking Ahead</w:t>
      </w:r>
    </w:p>
    <w:p w14:paraId="2F721CF7" w14:textId="149B57B0" w:rsidR="00295A87" w:rsidRDefault="00F07D48" w:rsidP="003C288A">
      <w:pPr>
        <w:jc w:val="both"/>
      </w:pPr>
      <w:r>
        <w:t>In 20</w:t>
      </w:r>
      <w:r w:rsidR="00786520">
        <w:t>2</w:t>
      </w:r>
      <w:r>
        <w:t>3, t</w:t>
      </w:r>
      <w:r w:rsidR="00FB2096">
        <w:t xml:space="preserve">he project will continue to provide </w:t>
      </w:r>
      <w:r>
        <w:t>services</w:t>
      </w:r>
      <w:r w:rsidR="001608BB">
        <w:t xml:space="preserve"> and support</w:t>
      </w:r>
      <w:r>
        <w:t xml:space="preserve"> to ECEC</w:t>
      </w:r>
      <w:r w:rsidR="00816909">
        <w:t xml:space="preserve"> centre</w:t>
      </w:r>
      <w:r>
        <w:t xml:space="preserve">s, </w:t>
      </w:r>
      <w:proofErr w:type="gramStart"/>
      <w:r>
        <w:t>playgroups</w:t>
      </w:r>
      <w:proofErr w:type="gramEnd"/>
      <w:r>
        <w:t xml:space="preserve"> and families</w:t>
      </w:r>
      <w:r w:rsidR="00067B65">
        <w:t xml:space="preserve"> across the </w:t>
      </w:r>
      <w:r w:rsidR="0056003F">
        <w:t>9</w:t>
      </w:r>
      <w:r w:rsidR="00067B65">
        <w:t xml:space="preserve"> target suburbs</w:t>
      </w:r>
      <w:r w:rsidR="000A1811">
        <w:t xml:space="preserve"> in </w:t>
      </w:r>
      <w:r w:rsidR="006223D7">
        <w:t>Belconnen</w:t>
      </w:r>
      <w:r w:rsidR="00294B50">
        <w:t xml:space="preserve">. </w:t>
      </w:r>
    </w:p>
    <w:p w14:paraId="2EA08DFE" w14:textId="1B32706E" w:rsidR="006961DB" w:rsidRDefault="00295A87" w:rsidP="00AE2A05">
      <w:r>
        <w:t>Additionally, g</w:t>
      </w:r>
      <w:r w:rsidR="00294B50">
        <w:t xml:space="preserve">iven the next </w:t>
      </w:r>
      <w:r w:rsidR="00067B65">
        <w:t xml:space="preserve">planned </w:t>
      </w:r>
      <w:r w:rsidR="00294B50">
        <w:t>AEDC</w:t>
      </w:r>
      <w:r w:rsidR="00067B65">
        <w:t xml:space="preserve"> data collection</w:t>
      </w:r>
      <w:r w:rsidR="00294B50">
        <w:t xml:space="preserve"> </w:t>
      </w:r>
      <w:r w:rsidR="00081F7B">
        <w:t xml:space="preserve">in </w:t>
      </w:r>
      <w:r w:rsidR="00294B50">
        <w:t>202</w:t>
      </w:r>
      <w:r w:rsidR="001608BB">
        <w:t>4</w:t>
      </w:r>
      <w:r w:rsidR="00294B50">
        <w:t>, the project will</w:t>
      </w:r>
      <w:r w:rsidR="008F57B0">
        <w:t xml:space="preserve"> begin to</w:t>
      </w:r>
      <w:r w:rsidR="00294B50">
        <w:t xml:space="preserve"> focus on providing similar </w:t>
      </w:r>
      <w:r w:rsidR="00703371">
        <w:t xml:space="preserve">types of </w:t>
      </w:r>
      <w:r w:rsidR="002C01F3" w:rsidRPr="00471127">
        <w:rPr>
          <w:rStyle w:val="cf01"/>
          <w:rFonts w:ascii="Arial" w:hAnsi="Arial" w:cs="Arial"/>
          <w:sz w:val="22"/>
          <w:szCs w:val="22"/>
        </w:rPr>
        <w:t>allied health programs</w:t>
      </w:r>
      <w:r w:rsidR="00816909">
        <w:rPr>
          <w:rStyle w:val="cf01"/>
          <w:rFonts w:ascii="Arial" w:eastAsiaTheme="majorEastAsia" w:hAnsi="Arial" w:cs="Arial"/>
          <w:sz w:val="22"/>
          <w:szCs w:val="22"/>
        </w:rPr>
        <w:t xml:space="preserve"> and </w:t>
      </w:r>
      <w:r w:rsidR="002C01F3" w:rsidRPr="00471127">
        <w:rPr>
          <w:rStyle w:val="cf01"/>
          <w:rFonts w:ascii="Arial" w:eastAsiaTheme="majorEastAsia" w:hAnsi="Arial" w:cs="Arial"/>
          <w:sz w:val="22"/>
          <w:szCs w:val="22"/>
        </w:rPr>
        <w:t xml:space="preserve">supports </w:t>
      </w:r>
      <w:r w:rsidR="00294B50">
        <w:t xml:space="preserve">to teachers in preschools </w:t>
      </w:r>
      <w:r w:rsidR="002C01F3">
        <w:t xml:space="preserve">located in </w:t>
      </w:r>
      <w:r w:rsidR="00294B50">
        <w:t xml:space="preserve">the </w:t>
      </w:r>
      <w:r w:rsidR="009424FB">
        <w:t xml:space="preserve">project’s </w:t>
      </w:r>
      <w:r w:rsidR="00294B50">
        <w:t>target suburbs</w:t>
      </w:r>
      <w:r w:rsidR="006223D7">
        <w:t xml:space="preserve">, </w:t>
      </w:r>
      <w:r w:rsidR="00914D46">
        <w:t>with the aim of</w:t>
      </w:r>
      <w:r w:rsidR="00816909">
        <w:t xml:space="preserve"> </w:t>
      </w:r>
      <w:r w:rsidR="00294B50">
        <w:t>reach</w:t>
      </w:r>
      <w:r w:rsidR="00914D46">
        <w:t>ing</w:t>
      </w:r>
      <w:r w:rsidR="00294B50">
        <w:t xml:space="preserve"> the group of children who will be </w:t>
      </w:r>
      <w:r w:rsidR="00786520">
        <w:t xml:space="preserve">entering </w:t>
      </w:r>
      <w:r w:rsidR="00294B50">
        <w:t>their first year of formal schooling in 2024.</w:t>
      </w:r>
    </w:p>
    <w:p w14:paraId="6A199E7F" w14:textId="0A476AB9" w:rsidR="00803F74" w:rsidRDefault="000B37F2" w:rsidP="00AE2A05">
      <w:r>
        <w:t>The project will also continue to maintain collaborations</w:t>
      </w:r>
      <w:r w:rsidR="00816909">
        <w:t xml:space="preserve"> already created</w:t>
      </w:r>
      <w:r>
        <w:t xml:space="preserve"> with local service providers in Belconnen</w:t>
      </w:r>
      <w:r w:rsidR="006223D7">
        <w:t xml:space="preserve"> </w:t>
      </w:r>
      <w:r w:rsidR="002238B3">
        <w:t>to</w:t>
      </w:r>
      <w:r>
        <w:t xml:space="preserve"> facilitate better connections between </w:t>
      </w:r>
      <w:r w:rsidR="002238B3">
        <w:t xml:space="preserve">families, </w:t>
      </w:r>
      <w:r w:rsidR="005021FB">
        <w:t>professionals</w:t>
      </w:r>
      <w:r>
        <w:t xml:space="preserve">, </w:t>
      </w:r>
      <w:r w:rsidR="005021FB">
        <w:t xml:space="preserve">services, </w:t>
      </w:r>
      <w:r w:rsidR="00703371">
        <w:t>sectors,</w:t>
      </w:r>
      <w:r>
        <w:t xml:space="preserve"> and </w:t>
      </w:r>
      <w:r w:rsidR="005021FB">
        <w:t xml:space="preserve">local government </w:t>
      </w:r>
      <w:r w:rsidR="00E250C6">
        <w:t xml:space="preserve">for the purpose </w:t>
      </w:r>
      <w:r w:rsidR="000075A8">
        <w:t>of improving</w:t>
      </w:r>
      <w:r w:rsidR="005021FB">
        <w:t xml:space="preserve"> service integration and collaboration</w:t>
      </w:r>
      <w:r w:rsidR="006223D7">
        <w:t xml:space="preserve">, </w:t>
      </w:r>
      <w:r w:rsidR="00A27814">
        <w:t>which in</w:t>
      </w:r>
      <w:r w:rsidR="006223D7">
        <w:t xml:space="preserve"> turn</w:t>
      </w:r>
      <w:r w:rsidR="00A27814">
        <w:t xml:space="preserve"> </w:t>
      </w:r>
      <w:r w:rsidR="00816909">
        <w:t xml:space="preserve">can </w:t>
      </w:r>
      <w:r w:rsidR="00A27814">
        <w:t>contribute to better</w:t>
      </w:r>
      <w:r w:rsidR="006223D7">
        <w:t xml:space="preserve"> outcomes for children</w:t>
      </w:r>
      <w:r>
        <w:t xml:space="preserve">. </w:t>
      </w:r>
    </w:p>
    <w:p w14:paraId="4CDEDC7A" w14:textId="34B7C53A" w:rsidR="005021FB" w:rsidRDefault="009459E3" w:rsidP="00AE2A05">
      <w:r>
        <w:t>Ultimately</w:t>
      </w:r>
      <w:r w:rsidR="001459BE">
        <w:t>,</w:t>
      </w:r>
      <w:r>
        <w:t xml:space="preserve"> </w:t>
      </w:r>
      <w:r w:rsidR="002E367B">
        <w:t xml:space="preserve">it </w:t>
      </w:r>
      <w:r w:rsidR="005021FB">
        <w:t xml:space="preserve">is </w:t>
      </w:r>
      <w:r w:rsidR="00A27814">
        <w:t xml:space="preserve">anticipated </w:t>
      </w:r>
      <w:r w:rsidR="009F11F6">
        <w:t>that in</w:t>
      </w:r>
      <w:r>
        <w:t xml:space="preserve"> providing these supports and programs</w:t>
      </w:r>
      <w:r w:rsidR="002E367B">
        <w:t>,</w:t>
      </w:r>
      <w:r>
        <w:t xml:space="preserve"> </w:t>
      </w:r>
      <w:r w:rsidR="00A437DE">
        <w:t xml:space="preserve">a significantly greater proportion of </w:t>
      </w:r>
      <w:r w:rsidR="001459BE">
        <w:t>children</w:t>
      </w:r>
      <w:r w:rsidR="005021FB">
        <w:t xml:space="preserve"> </w:t>
      </w:r>
      <w:r w:rsidR="001459BE">
        <w:t xml:space="preserve">in the </w:t>
      </w:r>
      <w:r w:rsidR="00880B4F">
        <w:t>9</w:t>
      </w:r>
      <w:r w:rsidR="001459BE">
        <w:t xml:space="preserve"> target suburbs </w:t>
      </w:r>
      <w:r w:rsidR="002E367B">
        <w:t>participating in the</w:t>
      </w:r>
      <w:r w:rsidR="001459BE">
        <w:t xml:space="preserve"> </w:t>
      </w:r>
      <w:r w:rsidR="00816909">
        <w:t>‘</w:t>
      </w:r>
      <w:r w:rsidR="001459BE">
        <w:t>Good Start in Life</w:t>
      </w:r>
      <w:r w:rsidR="00816909">
        <w:t>’</w:t>
      </w:r>
      <w:r w:rsidR="001459BE">
        <w:t xml:space="preserve"> project would be </w:t>
      </w:r>
      <w:r w:rsidR="00816909">
        <w:t xml:space="preserve">developmentally </w:t>
      </w:r>
      <w:r w:rsidR="002E367B">
        <w:t xml:space="preserve">on track </w:t>
      </w:r>
      <w:r w:rsidR="001459BE">
        <w:t>across the 5 domains</w:t>
      </w:r>
      <w:r>
        <w:t xml:space="preserve"> in </w:t>
      </w:r>
      <w:r w:rsidR="006223D7">
        <w:t xml:space="preserve">the </w:t>
      </w:r>
      <w:r>
        <w:t>2024</w:t>
      </w:r>
      <w:r w:rsidR="00DA70A6">
        <w:t xml:space="preserve"> </w:t>
      </w:r>
      <w:r w:rsidR="000075A8">
        <w:t>AEDC</w:t>
      </w:r>
      <w:r w:rsidR="001459BE">
        <w:t>, when compared to the 2018</w:t>
      </w:r>
      <w:r w:rsidR="000075A8">
        <w:t xml:space="preserve"> AEDC</w:t>
      </w:r>
      <w:r w:rsidR="001459BE">
        <w:t>.</w:t>
      </w:r>
    </w:p>
    <w:p w14:paraId="4B08A041" w14:textId="77777777" w:rsidR="000B37F2" w:rsidRPr="00A97BF3" w:rsidRDefault="000B37F2" w:rsidP="00AE2A05"/>
    <w:p w14:paraId="7A9AC9AD" w14:textId="5D76EB6E" w:rsidR="006961DB" w:rsidRDefault="006961DB" w:rsidP="006961DB">
      <w:pPr>
        <w:pStyle w:val="AEDCHeading3"/>
      </w:pPr>
      <w:r>
        <w:t>For more information contact</w:t>
      </w:r>
    </w:p>
    <w:p w14:paraId="43AB1782" w14:textId="24257439" w:rsidR="006961DB" w:rsidRDefault="006961DB" w:rsidP="006961DB">
      <w:pPr>
        <w:pStyle w:val="AEDCHeading3"/>
        <w:rPr>
          <w:b w:val="0"/>
          <w:bCs/>
          <w:color w:val="auto"/>
          <w:sz w:val="22"/>
          <w:szCs w:val="22"/>
        </w:rPr>
      </w:pPr>
      <w:r>
        <w:rPr>
          <w:b w:val="0"/>
          <w:bCs/>
          <w:color w:val="auto"/>
          <w:sz w:val="22"/>
          <w:szCs w:val="22"/>
        </w:rPr>
        <w:t xml:space="preserve">ACT AEDC Coordinator </w:t>
      </w:r>
    </w:p>
    <w:p w14:paraId="1F1E15D4" w14:textId="1996BC7E" w:rsidR="00CD5DB9" w:rsidRPr="009F2D50" w:rsidRDefault="006961DB" w:rsidP="00AA6561">
      <w:pPr>
        <w:pStyle w:val="AEDCHeading3"/>
        <w:rPr>
          <w:rFonts w:eastAsiaTheme="minorHAnsi" w:cs="Arial"/>
          <w:b w:val="0"/>
          <w:color w:val="087ABF"/>
          <w:sz w:val="22"/>
          <w:szCs w:val="22"/>
          <w:u w:val="single"/>
          <w:shd w:val="clear" w:color="auto" w:fill="FFFFFF"/>
        </w:rPr>
      </w:pPr>
      <w:r w:rsidRPr="006961DB">
        <w:rPr>
          <w:rFonts w:eastAsiaTheme="minorHAnsi" w:cs="Arial"/>
          <w:b w:val="0"/>
          <w:color w:val="333F46"/>
          <w:sz w:val="22"/>
          <w:szCs w:val="22"/>
          <w:shd w:val="clear" w:color="auto" w:fill="FFFFFF"/>
        </w:rPr>
        <w:t>Phone: 02 620​5 ​3542</w:t>
      </w:r>
      <w:r w:rsidRPr="006961DB">
        <w:rPr>
          <w:rFonts w:eastAsiaTheme="minorHAnsi" w:cs="Arial"/>
          <w:b w:val="0"/>
          <w:color w:val="333F46"/>
          <w:sz w:val="22"/>
          <w:szCs w:val="22"/>
        </w:rPr>
        <w:br/>
      </w:r>
      <w:r w:rsidRPr="006961DB">
        <w:rPr>
          <w:rFonts w:eastAsiaTheme="minorHAnsi" w:cs="Arial"/>
          <w:b w:val="0"/>
          <w:color w:val="333F46"/>
          <w:sz w:val="22"/>
          <w:szCs w:val="22"/>
          <w:shd w:val="clear" w:color="auto" w:fill="FFFFFF"/>
        </w:rPr>
        <w:t>Email:</w:t>
      </w:r>
      <w:r w:rsidR="004F6635">
        <w:rPr>
          <w:rFonts w:eastAsiaTheme="minorHAnsi" w:cs="Arial"/>
          <w:b w:val="0"/>
          <w:color w:val="333F46"/>
          <w:sz w:val="22"/>
          <w:szCs w:val="22"/>
          <w:shd w:val="clear" w:color="auto" w:fill="FFFFFF"/>
        </w:rPr>
        <w:t xml:space="preserve"> </w:t>
      </w:r>
      <w:r w:rsidR="004F6635">
        <w:rPr>
          <w:rFonts w:eastAsiaTheme="minorHAnsi" w:cs="Arial"/>
          <w:b w:val="0"/>
          <w:color w:val="087ABF"/>
          <w:sz w:val="22"/>
          <w:szCs w:val="22"/>
          <w:u w:val="single"/>
          <w:shd w:val="clear" w:color="auto" w:fill="FFFFFF"/>
        </w:rPr>
        <w:t>aedc@act.gov.au</w:t>
      </w:r>
      <w:r w:rsidRPr="006961DB">
        <w:rPr>
          <w:rFonts w:eastAsiaTheme="minorHAnsi" w:cs="Arial"/>
          <w:b w:val="0"/>
          <w:color w:val="333F46"/>
          <w:sz w:val="22"/>
          <w:szCs w:val="22"/>
        </w:rPr>
        <w:br/>
      </w:r>
      <w:r w:rsidRPr="006961DB">
        <w:rPr>
          <w:rFonts w:eastAsiaTheme="minorHAnsi" w:cs="Arial"/>
          <w:b w:val="0"/>
          <w:color w:val="333F46"/>
          <w:sz w:val="22"/>
          <w:szCs w:val="22"/>
          <w:shd w:val="clear" w:color="auto" w:fill="FFFFFF"/>
        </w:rPr>
        <w:t>Web: </w:t>
      </w:r>
      <w:r w:rsidR="00AE28F5" w:rsidRPr="00AA6561">
        <w:rPr>
          <w:b w:val="0"/>
          <w:bCs/>
          <w:color w:val="auto"/>
          <w:sz w:val="22"/>
          <w:szCs w:val="22"/>
        </w:rPr>
        <w:t xml:space="preserve"> </w:t>
      </w:r>
      <w:hyperlink r:id="rId19" w:history="1">
        <w:r w:rsidR="00FA51AB" w:rsidRPr="009F2D50">
          <w:rPr>
            <w:rFonts w:eastAsiaTheme="minorHAnsi" w:cs="Arial"/>
            <w:b w:val="0"/>
            <w:color w:val="087ABF"/>
            <w:u w:val="single"/>
            <w:shd w:val="clear" w:color="auto" w:fill="FFFFFF"/>
          </w:rPr>
          <w:t>https://www.communityservices.act.gov.au/ocyfs/children/australian-early-development-census</w:t>
        </w:r>
      </w:hyperlink>
    </w:p>
    <w:p w14:paraId="6E6A24BC" w14:textId="1F9D8AB4" w:rsidR="006961DB" w:rsidRPr="006961DB" w:rsidRDefault="006961DB" w:rsidP="00AA6561">
      <w:pPr>
        <w:pStyle w:val="Highlighttableheading"/>
      </w:pPr>
      <w:r w:rsidRPr="00FC3DB1">
        <w:t xml:space="preserve"> </w:t>
      </w:r>
    </w:p>
    <w:sectPr w:rsidR="006961DB" w:rsidRPr="006961DB" w:rsidSect="002B173C">
      <w:type w:val="continuous"/>
      <w:pgSz w:w="11906" w:h="16838"/>
      <w:pgMar w:top="993" w:right="707" w:bottom="1135" w:left="720" w:header="454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B0EEC" w14:textId="77777777" w:rsidR="00CB2572" w:rsidRDefault="00CB2572" w:rsidP="00420818">
      <w:pPr>
        <w:spacing w:after="0" w:line="240" w:lineRule="auto"/>
      </w:pPr>
      <w:r>
        <w:separator/>
      </w:r>
    </w:p>
  </w:endnote>
  <w:endnote w:type="continuationSeparator" w:id="0">
    <w:p w14:paraId="59D5FC7E" w14:textId="77777777" w:rsidR="00CB2572" w:rsidRDefault="00CB2572" w:rsidP="00420818">
      <w:pPr>
        <w:spacing w:after="0" w:line="240" w:lineRule="auto"/>
      </w:pPr>
      <w:r>
        <w:continuationSeparator/>
      </w:r>
    </w:p>
  </w:endnote>
  <w:endnote w:type="continuationNotice" w:id="1">
    <w:p w14:paraId="36EBBC22" w14:textId="77777777" w:rsidR="00CB2572" w:rsidRDefault="00CB25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C56D7" w14:textId="77777777" w:rsidR="00DC77AC" w:rsidRDefault="00DC77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692E" w14:textId="77777777" w:rsidR="00C117B8" w:rsidRDefault="00C117B8" w:rsidP="00C117B8">
    <w:pPr>
      <w:pStyle w:val="AEDCFooterText-Pagenumber"/>
      <w:tabs>
        <w:tab w:val="clear" w:pos="4513"/>
        <w:tab w:val="clear" w:pos="9026"/>
        <w:tab w:val="right" w:pos="10348"/>
      </w:tabs>
      <w:jc w:val="left"/>
    </w:pPr>
  </w:p>
  <w:p w14:paraId="5CC01500" w14:textId="496A9EB3" w:rsidR="00C117B8" w:rsidRPr="00892690" w:rsidRDefault="0018421C" w:rsidP="00C117B8">
    <w:pPr>
      <w:pStyle w:val="AEDCFooterText-Pagenumber"/>
      <w:tabs>
        <w:tab w:val="clear" w:pos="4513"/>
        <w:tab w:val="clear" w:pos="9026"/>
        <w:tab w:val="right" w:pos="10348"/>
      </w:tabs>
      <w:jc w:val="left"/>
    </w:pPr>
    <w:r>
      <w:t>A Good Start in Life for Young Children</w:t>
    </w:r>
    <w:r w:rsidR="00E23543">
      <w:t xml:space="preserve">  </w:t>
    </w:r>
    <w:r w:rsidR="00C117B8">
      <w:tab/>
      <w:t xml:space="preserve">Page </w:t>
    </w:r>
    <w:r w:rsidR="00C117B8" w:rsidRPr="00892690">
      <w:fldChar w:fldCharType="begin"/>
    </w:r>
    <w:r w:rsidR="00C117B8" w:rsidRPr="00892690">
      <w:instrText xml:space="preserve"> PAGE   \* MERGEFORMAT </w:instrText>
    </w:r>
    <w:r w:rsidR="00C117B8" w:rsidRPr="00892690">
      <w:fldChar w:fldCharType="separate"/>
    </w:r>
    <w:r w:rsidR="00E47BBE">
      <w:rPr>
        <w:noProof/>
      </w:rPr>
      <w:t>1</w:t>
    </w:r>
    <w:r w:rsidR="00C117B8" w:rsidRPr="00892690">
      <w:fldChar w:fldCharType="end"/>
    </w:r>
    <w:r w:rsidR="00C117B8" w:rsidRPr="00892690">
      <w:t xml:space="preserve"> of </w:t>
    </w:r>
    <w:fldSimple w:instr=" NUMPAGES   \* MERGEFORMAT ">
      <w:r w:rsidR="00E47BBE">
        <w:rPr>
          <w:noProof/>
        </w:rPr>
        <w:t>3</w:t>
      </w:r>
    </w:fldSimple>
  </w:p>
  <w:p w14:paraId="4FF2949D" w14:textId="4F9B7EA3" w:rsidR="00C117B8" w:rsidRDefault="00C117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D11A5" w14:textId="77777777" w:rsidR="00DC77AC" w:rsidRDefault="00DC7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1B55A" w14:textId="77777777" w:rsidR="00CB2572" w:rsidRDefault="00CB2572" w:rsidP="00420818">
      <w:pPr>
        <w:spacing w:after="0" w:line="240" w:lineRule="auto"/>
      </w:pPr>
      <w:r>
        <w:separator/>
      </w:r>
    </w:p>
  </w:footnote>
  <w:footnote w:type="continuationSeparator" w:id="0">
    <w:p w14:paraId="3BDF66BC" w14:textId="77777777" w:rsidR="00CB2572" w:rsidRDefault="00CB2572" w:rsidP="00420818">
      <w:pPr>
        <w:spacing w:after="0" w:line="240" w:lineRule="auto"/>
      </w:pPr>
      <w:r>
        <w:continuationSeparator/>
      </w:r>
    </w:p>
  </w:footnote>
  <w:footnote w:type="continuationNotice" w:id="1">
    <w:p w14:paraId="1847EEC6" w14:textId="77777777" w:rsidR="00CB2572" w:rsidRDefault="00CB25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27D54" w14:textId="77777777" w:rsidR="00DC77AC" w:rsidRDefault="00DC77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A40A1" w14:textId="77777777" w:rsidR="00DC77AC" w:rsidRDefault="00DC77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31025" w14:textId="77777777" w:rsidR="00DC77AC" w:rsidRDefault="00DC77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703D3"/>
    <w:multiLevelType w:val="hybridMultilevel"/>
    <w:tmpl w:val="DC24E61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1A0A36"/>
    <w:multiLevelType w:val="hybridMultilevel"/>
    <w:tmpl w:val="CC28A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361A9"/>
    <w:multiLevelType w:val="hybridMultilevel"/>
    <w:tmpl w:val="A132A5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1251C"/>
    <w:multiLevelType w:val="hybridMultilevel"/>
    <w:tmpl w:val="46522848"/>
    <w:lvl w:ilvl="0" w:tplc="89E805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50FF8"/>
    <w:multiLevelType w:val="hybridMultilevel"/>
    <w:tmpl w:val="A9DABDEC"/>
    <w:lvl w:ilvl="0" w:tplc="B70CF7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16BCC"/>
    <w:multiLevelType w:val="hybridMultilevel"/>
    <w:tmpl w:val="8144AE1A"/>
    <w:lvl w:ilvl="0" w:tplc="BBA8D17E">
      <w:start w:val="1"/>
      <w:numFmt w:val="bullet"/>
      <w:pStyle w:val="AEDCBodytext-Bulle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423AE"/>
    <w:multiLevelType w:val="hybridMultilevel"/>
    <w:tmpl w:val="08A873DE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6F9B5792"/>
    <w:multiLevelType w:val="hybridMultilevel"/>
    <w:tmpl w:val="99ACD0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71020">
    <w:abstractNumId w:val="1"/>
  </w:num>
  <w:num w:numId="2" w16cid:durableId="1916547430">
    <w:abstractNumId w:val="5"/>
  </w:num>
  <w:num w:numId="3" w16cid:durableId="1042486100">
    <w:abstractNumId w:val="7"/>
  </w:num>
  <w:num w:numId="4" w16cid:durableId="405614072">
    <w:abstractNumId w:val="2"/>
  </w:num>
  <w:num w:numId="5" w16cid:durableId="1164977825">
    <w:abstractNumId w:val="4"/>
  </w:num>
  <w:num w:numId="6" w16cid:durableId="1665085442">
    <w:abstractNumId w:val="6"/>
  </w:num>
  <w:num w:numId="7" w16cid:durableId="249510601">
    <w:abstractNumId w:val="0"/>
  </w:num>
  <w:num w:numId="8" w16cid:durableId="3936283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1AA"/>
    <w:rsid w:val="00005944"/>
    <w:rsid w:val="000075A8"/>
    <w:rsid w:val="00025070"/>
    <w:rsid w:val="00026735"/>
    <w:rsid w:val="000325B4"/>
    <w:rsid w:val="00036885"/>
    <w:rsid w:val="000451AC"/>
    <w:rsid w:val="0004576B"/>
    <w:rsid w:val="00046045"/>
    <w:rsid w:val="0004617A"/>
    <w:rsid w:val="000518B6"/>
    <w:rsid w:val="0005291D"/>
    <w:rsid w:val="00052DE0"/>
    <w:rsid w:val="0005356E"/>
    <w:rsid w:val="00057E80"/>
    <w:rsid w:val="000618FD"/>
    <w:rsid w:val="00062736"/>
    <w:rsid w:val="00066768"/>
    <w:rsid w:val="00067B65"/>
    <w:rsid w:val="00067BA9"/>
    <w:rsid w:val="0007271A"/>
    <w:rsid w:val="00074D41"/>
    <w:rsid w:val="00075EF9"/>
    <w:rsid w:val="00081C34"/>
    <w:rsid w:val="00081F7B"/>
    <w:rsid w:val="0008413A"/>
    <w:rsid w:val="00085AFB"/>
    <w:rsid w:val="00086031"/>
    <w:rsid w:val="00086F50"/>
    <w:rsid w:val="0008751E"/>
    <w:rsid w:val="00096303"/>
    <w:rsid w:val="000A1811"/>
    <w:rsid w:val="000A34A2"/>
    <w:rsid w:val="000A7EA8"/>
    <w:rsid w:val="000B34C0"/>
    <w:rsid w:val="000B37F2"/>
    <w:rsid w:val="000B71CA"/>
    <w:rsid w:val="000D00C9"/>
    <w:rsid w:val="000D235C"/>
    <w:rsid w:val="000D5354"/>
    <w:rsid w:val="000D670F"/>
    <w:rsid w:val="000D7664"/>
    <w:rsid w:val="000E13CA"/>
    <w:rsid w:val="000E63BA"/>
    <w:rsid w:val="000F19A5"/>
    <w:rsid w:val="0010124A"/>
    <w:rsid w:val="00114090"/>
    <w:rsid w:val="00114CC4"/>
    <w:rsid w:val="00121745"/>
    <w:rsid w:val="0012351B"/>
    <w:rsid w:val="001335FB"/>
    <w:rsid w:val="001459BE"/>
    <w:rsid w:val="00147678"/>
    <w:rsid w:val="0015376B"/>
    <w:rsid w:val="001541DB"/>
    <w:rsid w:val="001608BB"/>
    <w:rsid w:val="00160A36"/>
    <w:rsid w:val="00172E46"/>
    <w:rsid w:val="001772A1"/>
    <w:rsid w:val="0018421C"/>
    <w:rsid w:val="001847CB"/>
    <w:rsid w:val="00185FF5"/>
    <w:rsid w:val="00192645"/>
    <w:rsid w:val="00195BB8"/>
    <w:rsid w:val="001A3454"/>
    <w:rsid w:val="001A4ACC"/>
    <w:rsid w:val="001B0347"/>
    <w:rsid w:val="001B36AC"/>
    <w:rsid w:val="001C3AE5"/>
    <w:rsid w:val="001C475E"/>
    <w:rsid w:val="001C6943"/>
    <w:rsid w:val="001D5D65"/>
    <w:rsid w:val="001D62EC"/>
    <w:rsid w:val="001E3495"/>
    <w:rsid w:val="001E6DA5"/>
    <w:rsid w:val="001F4407"/>
    <w:rsid w:val="001F5872"/>
    <w:rsid w:val="001F66A3"/>
    <w:rsid w:val="00200086"/>
    <w:rsid w:val="00213290"/>
    <w:rsid w:val="00213E98"/>
    <w:rsid w:val="00214906"/>
    <w:rsid w:val="002176B3"/>
    <w:rsid w:val="0022075E"/>
    <w:rsid w:val="002238B3"/>
    <w:rsid w:val="00225CD4"/>
    <w:rsid w:val="00226FD3"/>
    <w:rsid w:val="00230920"/>
    <w:rsid w:val="00231EAE"/>
    <w:rsid w:val="002440D0"/>
    <w:rsid w:val="002448C2"/>
    <w:rsid w:val="00246068"/>
    <w:rsid w:val="002472F9"/>
    <w:rsid w:val="0025046D"/>
    <w:rsid w:val="00251BD1"/>
    <w:rsid w:val="00253E6A"/>
    <w:rsid w:val="00255FE8"/>
    <w:rsid w:val="00260539"/>
    <w:rsid w:val="0026156B"/>
    <w:rsid w:val="002635F8"/>
    <w:rsid w:val="00272D35"/>
    <w:rsid w:val="00273FA6"/>
    <w:rsid w:val="00281312"/>
    <w:rsid w:val="00282C42"/>
    <w:rsid w:val="00283704"/>
    <w:rsid w:val="00286C63"/>
    <w:rsid w:val="00291B6F"/>
    <w:rsid w:val="00294B50"/>
    <w:rsid w:val="00295A87"/>
    <w:rsid w:val="002A6575"/>
    <w:rsid w:val="002B0218"/>
    <w:rsid w:val="002B0863"/>
    <w:rsid w:val="002B1698"/>
    <w:rsid w:val="002B173C"/>
    <w:rsid w:val="002B4E52"/>
    <w:rsid w:val="002C01F3"/>
    <w:rsid w:val="002C7726"/>
    <w:rsid w:val="002D426D"/>
    <w:rsid w:val="002D6582"/>
    <w:rsid w:val="002D7DA3"/>
    <w:rsid w:val="002E173F"/>
    <w:rsid w:val="002E367B"/>
    <w:rsid w:val="002E52FF"/>
    <w:rsid w:val="002F2C22"/>
    <w:rsid w:val="002F3EE0"/>
    <w:rsid w:val="002F6488"/>
    <w:rsid w:val="00313CA9"/>
    <w:rsid w:val="0031529F"/>
    <w:rsid w:val="00317959"/>
    <w:rsid w:val="0032323B"/>
    <w:rsid w:val="00324DC2"/>
    <w:rsid w:val="0032793B"/>
    <w:rsid w:val="00327EDF"/>
    <w:rsid w:val="00330C9D"/>
    <w:rsid w:val="00332FDF"/>
    <w:rsid w:val="00337DCF"/>
    <w:rsid w:val="00337DE3"/>
    <w:rsid w:val="0034126C"/>
    <w:rsid w:val="00342541"/>
    <w:rsid w:val="00342C10"/>
    <w:rsid w:val="00343901"/>
    <w:rsid w:val="00350B8C"/>
    <w:rsid w:val="003561AA"/>
    <w:rsid w:val="003579BF"/>
    <w:rsid w:val="00360EB5"/>
    <w:rsid w:val="00366C41"/>
    <w:rsid w:val="00377B37"/>
    <w:rsid w:val="00380A06"/>
    <w:rsid w:val="00382C2D"/>
    <w:rsid w:val="00384EA5"/>
    <w:rsid w:val="00385886"/>
    <w:rsid w:val="00385FC6"/>
    <w:rsid w:val="00396554"/>
    <w:rsid w:val="003C071F"/>
    <w:rsid w:val="003C1A3F"/>
    <w:rsid w:val="003C288A"/>
    <w:rsid w:val="003C6C1C"/>
    <w:rsid w:val="003C7FBA"/>
    <w:rsid w:val="003D1D43"/>
    <w:rsid w:val="003D5842"/>
    <w:rsid w:val="003D58BB"/>
    <w:rsid w:val="003D6D1A"/>
    <w:rsid w:val="003E24F6"/>
    <w:rsid w:val="003E2CC3"/>
    <w:rsid w:val="003E6DD6"/>
    <w:rsid w:val="003F0144"/>
    <w:rsid w:val="003F5173"/>
    <w:rsid w:val="00401B2B"/>
    <w:rsid w:val="004031FF"/>
    <w:rsid w:val="00405825"/>
    <w:rsid w:val="004159AE"/>
    <w:rsid w:val="00417338"/>
    <w:rsid w:val="00420818"/>
    <w:rsid w:val="0042249E"/>
    <w:rsid w:val="00426B77"/>
    <w:rsid w:val="00433BC2"/>
    <w:rsid w:val="00436FEE"/>
    <w:rsid w:val="00437128"/>
    <w:rsid w:val="00444B7F"/>
    <w:rsid w:val="00444BC9"/>
    <w:rsid w:val="00444C72"/>
    <w:rsid w:val="00445197"/>
    <w:rsid w:val="004454A4"/>
    <w:rsid w:val="004537FF"/>
    <w:rsid w:val="00457B36"/>
    <w:rsid w:val="00462FF2"/>
    <w:rsid w:val="00471127"/>
    <w:rsid w:val="00474C2F"/>
    <w:rsid w:val="00480A13"/>
    <w:rsid w:val="00481F0E"/>
    <w:rsid w:val="00484A0A"/>
    <w:rsid w:val="00486746"/>
    <w:rsid w:val="004877B6"/>
    <w:rsid w:val="00491DAB"/>
    <w:rsid w:val="00492993"/>
    <w:rsid w:val="00493C8A"/>
    <w:rsid w:val="00495C0E"/>
    <w:rsid w:val="004979EC"/>
    <w:rsid w:val="004A5D5D"/>
    <w:rsid w:val="004B0404"/>
    <w:rsid w:val="004B5D05"/>
    <w:rsid w:val="004B7EA8"/>
    <w:rsid w:val="004C0F4A"/>
    <w:rsid w:val="004C15EA"/>
    <w:rsid w:val="004C6112"/>
    <w:rsid w:val="004D05A3"/>
    <w:rsid w:val="004E0217"/>
    <w:rsid w:val="004E25AA"/>
    <w:rsid w:val="004E2602"/>
    <w:rsid w:val="004E537F"/>
    <w:rsid w:val="004F2AD5"/>
    <w:rsid w:val="004F52A3"/>
    <w:rsid w:val="004F547D"/>
    <w:rsid w:val="004F5BA4"/>
    <w:rsid w:val="004F6635"/>
    <w:rsid w:val="004F6CB2"/>
    <w:rsid w:val="00501168"/>
    <w:rsid w:val="00501A83"/>
    <w:rsid w:val="005021FB"/>
    <w:rsid w:val="00502343"/>
    <w:rsid w:val="00503251"/>
    <w:rsid w:val="005061C4"/>
    <w:rsid w:val="0051119F"/>
    <w:rsid w:val="005119B9"/>
    <w:rsid w:val="00511A58"/>
    <w:rsid w:val="005153D4"/>
    <w:rsid w:val="00515E6A"/>
    <w:rsid w:val="00525A60"/>
    <w:rsid w:val="00530754"/>
    <w:rsid w:val="00530900"/>
    <w:rsid w:val="00531845"/>
    <w:rsid w:val="00554AD8"/>
    <w:rsid w:val="0056003F"/>
    <w:rsid w:val="00560AA1"/>
    <w:rsid w:val="00564CE3"/>
    <w:rsid w:val="0056671A"/>
    <w:rsid w:val="0056722A"/>
    <w:rsid w:val="00570727"/>
    <w:rsid w:val="00573A21"/>
    <w:rsid w:val="005746D1"/>
    <w:rsid w:val="00575A62"/>
    <w:rsid w:val="00575B6C"/>
    <w:rsid w:val="00577A48"/>
    <w:rsid w:val="00581F88"/>
    <w:rsid w:val="005842BE"/>
    <w:rsid w:val="00587A8E"/>
    <w:rsid w:val="00591391"/>
    <w:rsid w:val="00592F30"/>
    <w:rsid w:val="005A023B"/>
    <w:rsid w:val="005A2333"/>
    <w:rsid w:val="005A6998"/>
    <w:rsid w:val="005A69EE"/>
    <w:rsid w:val="005B20AD"/>
    <w:rsid w:val="005B67EF"/>
    <w:rsid w:val="005B6B88"/>
    <w:rsid w:val="005C3E12"/>
    <w:rsid w:val="005C4549"/>
    <w:rsid w:val="005C7158"/>
    <w:rsid w:val="005D0487"/>
    <w:rsid w:val="005D2396"/>
    <w:rsid w:val="005D572E"/>
    <w:rsid w:val="005E5548"/>
    <w:rsid w:val="005F2F88"/>
    <w:rsid w:val="005F308D"/>
    <w:rsid w:val="005F3F01"/>
    <w:rsid w:val="005F40F0"/>
    <w:rsid w:val="005F4E67"/>
    <w:rsid w:val="006034C0"/>
    <w:rsid w:val="00605C96"/>
    <w:rsid w:val="00605DAC"/>
    <w:rsid w:val="00606C6E"/>
    <w:rsid w:val="00610EA8"/>
    <w:rsid w:val="00611A85"/>
    <w:rsid w:val="00611AC1"/>
    <w:rsid w:val="00613376"/>
    <w:rsid w:val="00615AFF"/>
    <w:rsid w:val="0062041E"/>
    <w:rsid w:val="006223D7"/>
    <w:rsid w:val="00624F69"/>
    <w:rsid w:val="00625610"/>
    <w:rsid w:val="00631264"/>
    <w:rsid w:val="00632FF0"/>
    <w:rsid w:val="006370FC"/>
    <w:rsid w:val="0064037C"/>
    <w:rsid w:val="006459D6"/>
    <w:rsid w:val="00650B4D"/>
    <w:rsid w:val="006560F0"/>
    <w:rsid w:val="006619D7"/>
    <w:rsid w:val="0066480E"/>
    <w:rsid w:val="00664B6A"/>
    <w:rsid w:val="006653D9"/>
    <w:rsid w:val="006657A6"/>
    <w:rsid w:val="006667F8"/>
    <w:rsid w:val="00671C10"/>
    <w:rsid w:val="006823CF"/>
    <w:rsid w:val="0068610D"/>
    <w:rsid w:val="006951FA"/>
    <w:rsid w:val="006961DB"/>
    <w:rsid w:val="006A2A97"/>
    <w:rsid w:val="006A50DE"/>
    <w:rsid w:val="006A518F"/>
    <w:rsid w:val="006B14BB"/>
    <w:rsid w:val="006B1C5A"/>
    <w:rsid w:val="006B2C6D"/>
    <w:rsid w:val="006C372D"/>
    <w:rsid w:val="006C7464"/>
    <w:rsid w:val="006D303C"/>
    <w:rsid w:val="006D5626"/>
    <w:rsid w:val="006D74AE"/>
    <w:rsid w:val="006D76F3"/>
    <w:rsid w:val="006E6D2C"/>
    <w:rsid w:val="006F460A"/>
    <w:rsid w:val="006F546E"/>
    <w:rsid w:val="006F5955"/>
    <w:rsid w:val="00703371"/>
    <w:rsid w:val="007048D9"/>
    <w:rsid w:val="00707723"/>
    <w:rsid w:val="00707AE4"/>
    <w:rsid w:val="007142FB"/>
    <w:rsid w:val="007152CF"/>
    <w:rsid w:val="00722C67"/>
    <w:rsid w:val="00726756"/>
    <w:rsid w:val="007277B5"/>
    <w:rsid w:val="007314ED"/>
    <w:rsid w:val="00746599"/>
    <w:rsid w:val="0075071F"/>
    <w:rsid w:val="00764157"/>
    <w:rsid w:val="00764C82"/>
    <w:rsid w:val="00765CE0"/>
    <w:rsid w:val="00775BA7"/>
    <w:rsid w:val="00776E4C"/>
    <w:rsid w:val="00780C23"/>
    <w:rsid w:val="00785445"/>
    <w:rsid w:val="00786520"/>
    <w:rsid w:val="00793A04"/>
    <w:rsid w:val="0079690A"/>
    <w:rsid w:val="007A0CFB"/>
    <w:rsid w:val="007A32CD"/>
    <w:rsid w:val="007A33FE"/>
    <w:rsid w:val="007A34D4"/>
    <w:rsid w:val="007A6215"/>
    <w:rsid w:val="007A65AF"/>
    <w:rsid w:val="007B3E76"/>
    <w:rsid w:val="007B519A"/>
    <w:rsid w:val="007C14DB"/>
    <w:rsid w:val="007C39A8"/>
    <w:rsid w:val="007C61F9"/>
    <w:rsid w:val="007C7D1A"/>
    <w:rsid w:val="007D4076"/>
    <w:rsid w:val="007D671E"/>
    <w:rsid w:val="007E26B5"/>
    <w:rsid w:val="007E7749"/>
    <w:rsid w:val="007F0B07"/>
    <w:rsid w:val="007F2C20"/>
    <w:rsid w:val="007F54D9"/>
    <w:rsid w:val="00803782"/>
    <w:rsid w:val="00803F74"/>
    <w:rsid w:val="00807BCD"/>
    <w:rsid w:val="0081011A"/>
    <w:rsid w:val="008145B7"/>
    <w:rsid w:val="0081495C"/>
    <w:rsid w:val="00816909"/>
    <w:rsid w:val="00821037"/>
    <w:rsid w:val="008214FC"/>
    <w:rsid w:val="00823351"/>
    <w:rsid w:val="00825D34"/>
    <w:rsid w:val="00830F99"/>
    <w:rsid w:val="00832E59"/>
    <w:rsid w:val="008335EB"/>
    <w:rsid w:val="00840331"/>
    <w:rsid w:val="00846866"/>
    <w:rsid w:val="00850674"/>
    <w:rsid w:val="00852366"/>
    <w:rsid w:val="00852C5D"/>
    <w:rsid w:val="00853DF7"/>
    <w:rsid w:val="008544BE"/>
    <w:rsid w:val="00862E4A"/>
    <w:rsid w:val="0086410F"/>
    <w:rsid w:val="0087296D"/>
    <w:rsid w:val="00873C4D"/>
    <w:rsid w:val="00874E24"/>
    <w:rsid w:val="0087673F"/>
    <w:rsid w:val="00877CC6"/>
    <w:rsid w:val="00880B4F"/>
    <w:rsid w:val="008833CA"/>
    <w:rsid w:val="00892690"/>
    <w:rsid w:val="008A6573"/>
    <w:rsid w:val="008A66BC"/>
    <w:rsid w:val="008A6C46"/>
    <w:rsid w:val="008B0CA8"/>
    <w:rsid w:val="008B6136"/>
    <w:rsid w:val="008C0B94"/>
    <w:rsid w:val="008C7706"/>
    <w:rsid w:val="008D5783"/>
    <w:rsid w:val="008E0C93"/>
    <w:rsid w:val="008F4F71"/>
    <w:rsid w:val="008F57B0"/>
    <w:rsid w:val="00903A09"/>
    <w:rsid w:val="00912B70"/>
    <w:rsid w:val="00913704"/>
    <w:rsid w:val="00914D46"/>
    <w:rsid w:val="00916493"/>
    <w:rsid w:val="00922052"/>
    <w:rsid w:val="00930661"/>
    <w:rsid w:val="009324FF"/>
    <w:rsid w:val="009326C0"/>
    <w:rsid w:val="00932C9A"/>
    <w:rsid w:val="00935935"/>
    <w:rsid w:val="009360FB"/>
    <w:rsid w:val="009424FB"/>
    <w:rsid w:val="009459E3"/>
    <w:rsid w:val="00956654"/>
    <w:rsid w:val="009667E1"/>
    <w:rsid w:val="0097317D"/>
    <w:rsid w:val="00974E00"/>
    <w:rsid w:val="00985BF3"/>
    <w:rsid w:val="00991385"/>
    <w:rsid w:val="00994B65"/>
    <w:rsid w:val="009952C1"/>
    <w:rsid w:val="009A01CF"/>
    <w:rsid w:val="009A3F43"/>
    <w:rsid w:val="009B6244"/>
    <w:rsid w:val="009B66BF"/>
    <w:rsid w:val="009C237F"/>
    <w:rsid w:val="009C3DFB"/>
    <w:rsid w:val="009D3EFC"/>
    <w:rsid w:val="009E41E6"/>
    <w:rsid w:val="009E5357"/>
    <w:rsid w:val="009F117F"/>
    <w:rsid w:val="009F11F6"/>
    <w:rsid w:val="009F2D50"/>
    <w:rsid w:val="009F5065"/>
    <w:rsid w:val="00A00ACE"/>
    <w:rsid w:val="00A027F2"/>
    <w:rsid w:val="00A05C81"/>
    <w:rsid w:val="00A103E1"/>
    <w:rsid w:val="00A107B2"/>
    <w:rsid w:val="00A10ED3"/>
    <w:rsid w:val="00A2296E"/>
    <w:rsid w:val="00A256FF"/>
    <w:rsid w:val="00A27814"/>
    <w:rsid w:val="00A3190F"/>
    <w:rsid w:val="00A35F02"/>
    <w:rsid w:val="00A36052"/>
    <w:rsid w:val="00A42EA4"/>
    <w:rsid w:val="00A437DE"/>
    <w:rsid w:val="00A43B44"/>
    <w:rsid w:val="00A44807"/>
    <w:rsid w:val="00A508AA"/>
    <w:rsid w:val="00A53E50"/>
    <w:rsid w:val="00A57CF2"/>
    <w:rsid w:val="00A62507"/>
    <w:rsid w:val="00A66887"/>
    <w:rsid w:val="00A67CE6"/>
    <w:rsid w:val="00A71969"/>
    <w:rsid w:val="00A720DF"/>
    <w:rsid w:val="00A7295D"/>
    <w:rsid w:val="00A73754"/>
    <w:rsid w:val="00A756E0"/>
    <w:rsid w:val="00A7589F"/>
    <w:rsid w:val="00A77266"/>
    <w:rsid w:val="00A83551"/>
    <w:rsid w:val="00A86820"/>
    <w:rsid w:val="00A86D57"/>
    <w:rsid w:val="00A92B1E"/>
    <w:rsid w:val="00A949BE"/>
    <w:rsid w:val="00A94C89"/>
    <w:rsid w:val="00A955B2"/>
    <w:rsid w:val="00A97499"/>
    <w:rsid w:val="00AA1F49"/>
    <w:rsid w:val="00AA3BC9"/>
    <w:rsid w:val="00AA6561"/>
    <w:rsid w:val="00AB38EC"/>
    <w:rsid w:val="00AB560F"/>
    <w:rsid w:val="00AC0C63"/>
    <w:rsid w:val="00AC717D"/>
    <w:rsid w:val="00AC72EC"/>
    <w:rsid w:val="00AE1779"/>
    <w:rsid w:val="00AE1ADD"/>
    <w:rsid w:val="00AE28F5"/>
    <w:rsid w:val="00AE2A05"/>
    <w:rsid w:val="00AE5513"/>
    <w:rsid w:val="00AE682A"/>
    <w:rsid w:val="00AF1155"/>
    <w:rsid w:val="00AF4594"/>
    <w:rsid w:val="00B01AAD"/>
    <w:rsid w:val="00B05B2B"/>
    <w:rsid w:val="00B127C8"/>
    <w:rsid w:val="00B20844"/>
    <w:rsid w:val="00B21807"/>
    <w:rsid w:val="00B236E5"/>
    <w:rsid w:val="00B23E03"/>
    <w:rsid w:val="00B242A1"/>
    <w:rsid w:val="00B3097A"/>
    <w:rsid w:val="00B310F5"/>
    <w:rsid w:val="00B33FCE"/>
    <w:rsid w:val="00B359E4"/>
    <w:rsid w:val="00B417B1"/>
    <w:rsid w:val="00B45F5E"/>
    <w:rsid w:val="00B476F6"/>
    <w:rsid w:val="00B545EC"/>
    <w:rsid w:val="00B548B6"/>
    <w:rsid w:val="00B55457"/>
    <w:rsid w:val="00B57CC3"/>
    <w:rsid w:val="00B6098B"/>
    <w:rsid w:val="00B609E9"/>
    <w:rsid w:val="00B719EB"/>
    <w:rsid w:val="00B73662"/>
    <w:rsid w:val="00B7420C"/>
    <w:rsid w:val="00B82DAF"/>
    <w:rsid w:val="00B858CC"/>
    <w:rsid w:val="00B86F3A"/>
    <w:rsid w:val="00B96ED8"/>
    <w:rsid w:val="00B9709F"/>
    <w:rsid w:val="00BA3BFD"/>
    <w:rsid w:val="00BA3ED5"/>
    <w:rsid w:val="00BA59D8"/>
    <w:rsid w:val="00BA6F16"/>
    <w:rsid w:val="00BB00C6"/>
    <w:rsid w:val="00BB3415"/>
    <w:rsid w:val="00BB42B1"/>
    <w:rsid w:val="00BB4761"/>
    <w:rsid w:val="00BD0FF3"/>
    <w:rsid w:val="00BD15D8"/>
    <w:rsid w:val="00BD53C0"/>
    <w:rsid w:val="00BD7427"/>
    <w:rsid w:val="00BE3904"/>
    <w:rsid w:val="00BF1E25"/>
    <w:rsid w:val="00BF5CE7"/>
    <w:rsid w:val="00C0443B"/>
    <w:rsid w:val="00C1055D"/>
    <w:rsid w:val="00C117B8"/>
    <w:rsid w:val="00C15507"/>
    <w:rsid w:val="00C309E4"/>
    <w:rsid w:val="00C424B0"/>
    <w:rsid w:val="00C43BDD"/>
    <w:rsid w:val="00C53CF9"/>
    <w:rsid w:val="00C54059"/>
    <w:rsid w:val="00C555E2"/>
    <w:rsid w:val="00C60EEA"/>
    <w:rsid w:val="00C672AB"/>
    <w:rsid w:val="00C67497"/>
    <w:rsid w:val="00C70EBD"/>
    <w:rsid w:val="00C725AA"/>
    <w:rsid w:val="00C73C96"/>
    <w:rsid w:val="00C82E31"/>
    <w:rsid w:val="00C83BEE"/>
    <w:rsid w:val="00C9152E"/>
    <w:rsid w:val="00C94104"/>
    <w:rsid w:val="00CA4432"/>
    <w:rsid w:val="00CA57A5"/>
    <w:rsid w:val="00CB08B7"/>
    <w:rsid w:val="00CB2572"/>
    <w:rsid w:val="00CB45E8"/>
    <w:rsid w:val="00CB6095"/>
    <w:rsid w:val="00CC79C2"/>
    <w:rsid w:val="00CD02D1"/>
    <w:rsid w:val="00CD46B2"/>
    <w:rsid w:val="00CD5DB9"/>
    <w:rsid w:val="00CE17D1"/>
    <w:rsid w:val="00CE34AA"/>
    <w:rsid w:val="00CE4FA6"/>
    <w:rsid w:val="00CF1AF0"/>
    <w:rsid w:val="00CF6A4D"/>
    <w:rsid w:val="00D00144"/>
    <w:rsid w:val="00D00B89"/>
    <w:rsid w:val="00D010DE"/>
    <w:rsid w:val="00D012AD"/>
    <w:rsid w:val="00D11208"/>
    <w:rsid w:val="00D12C44"/>
    <w:rsid w:val="00D148AC"/>
    <w:rsid w:val="00D22EDA"/>
    <w:rsid w:val="00D24E5F"/>
    <w:rsid w:val="00D32DD4"/>
    <w:rsid w:val="00D3529B"/>
    <w:rsid w:val="00D3574B"/>
    <w:rsid w:val="00D40378"/>
    <w:rsid w:val="00D44E8C"/>
    <w:rsid w:val="00D50A97"/>
    <w:rsid w:val="00D53573"/>
    <w:rsid w:val="00D54BD5"/>
    <w:rsid w:val="00D56166"/>
    <w:rsid w:val="00D56B8D"/>
    <w:rsid w:val="00D61AFA"/>
    <w:rsid w:val="00D71810"/>
    <w:rsid w:val="00D7336D"/>
    <w:rsid w:val="00D80996"/>
    <w:rsid w:val="00D9210D"/>
    <w:rsid w:val="00D93E5D"/>
    <w:rsid w:val="00D9685E"/>
    <w:rsid w:val="00DA3669"/>
    <w:rsid w:val="00DA70A6"/>
    <w:rsid w:val="00DB3839"/>
    <w:rsid w:val="00DB407F"/>
    <w:rsid w:val="00DB43D8"/>
    <w:rsid w:val="00DB7694"/>
    <w:rsid w:val="00DC2A80"/>
    <w:rsid w:val="00DC4237"/>
    <w:rsid w:val="00DC77AC"/>
    <w:rsid w:val="00DC781F"/>
    <w:rsid w:val="00DD552E"/>
    <w:rsid w:val="00DD56A6"/>
    <w:rsid w:val="00DD5F18"/>
    <w:rsid w:val="00DD79FD"/>
    <w:rsid w:val="00DD7B85"/>
    <w:rsid w:val="00DE2915"/>
    <w:rsid w:val="00DE32F5"/>
    <w:rsid w:val="00DF46CD"/>
    <w:rsid w:val="00E02AC4"/>
    <w:rsid w:val="00E104E7"/>
    <w:rsid w:val="00E14481"/>
    <w:rsid w:val="00E22A29"/>
    <w:rsid w:val="00E230DA"/>
    <w:rsid w:val="00E23543"/>
    <w:rsid w:val="00E23E32"/>
    <w:rsid w:val="00E24B54"/>
    <w:rsid w:val="00E250C6"/>
    <w:rsid w:val="00E32354"/>
    <w:rsid w:val="00E334E6"/>
    <w:rsid w:val="00E334E8"/>
    <w:rsid w:val="00E35E73"/>
    <w:rsid w:val="00E40FE2"/>
    <w:rsid w:val="00E43B38"/>
    <w:rsid w:val="00E47BBE"/>
    <w:rsid w:val="00E521B6"/>
    <w:rsid w:val="00E61129"/>
    <w:rsid w:val="00E64FAA"/>
    <w:rsid w:val="00E65C9F"/>
    <w:rsid w:val="00E7023D"/>
    <w:rsid w:val="00E77EC7"/>
    <w:rsid w:val="00E83FC4"/>
    <w:rsid w:val="00E84ED1"/>
    <w:rsid w:val="00E91352"/>
    <w:rsid w:val="00E91F97"/>
    <w:rsid w:val="00E9593B"/>
    <w:rsid w:val="00EA1CC6"/>
    <w:rsid w:val="00EA24F4"/>
    <w:rsid w:val="00EA603B"/>
    <w:rsid w:val="00EA6211"/>
    <w:rsid w:val="00EB0CBF"/>
    <w:rsid w:val="00EB441E"/>
    <w:rsid w:val="00EB6ABA"/>
    <w:rsid w:val="00EC07E1"/>
    <w:rsid w:val="00EC2925"/>
    <w:rsid w:val="00EC4661"/>
    <w:rsid w:val="00ED2482"/>
    <w:rsid w:val="00ED2882"/>
    <w:rsid w:val="00EE2DDA"/>
    <w:rsid w:val="00EE50C1"/>
    <w:rsid w:val="00EE6892"/>
    <w:rsid w:val="00EE77BF"/>
    <w:rsid w:val="00EE7817"/>
    <w:rsid w:val="00EF0094"/>
    <w:rsid w:val="00EF7F6A"/>
    <w:rsid w:val="00F0020B"/>
    <w:rsid w:val="00F07D48"/>
    <w:rsid w:val="00F11C0D"/>
    <w:rsid w:val="00F140B5"/>
    <w:rsid w:val="00F152DD"/>
    <w:rsid w:val="00F17DFC"/>
    <w:rsid w:val="00F20588"/>
    <w:rsid w:val="00F24E93"/>
    <w:rsid w:val="00F34027"/>
    <w:rsid w:val="00F3445B"/>
    <w:rsid w:val="00F40AC8"/>
    <w:rsid w:val="00F5005A"/>
    <w:rsid w:val="00F51CC4"/>
    <w:rsid w:val="00F53720"/>
    <w:rsid w:val="00F55907"/>
    <w:rsid w:val="00F64214"/>
    <w:rsid w:val="00F668B0"/>
    <w:rsid w:val="00F75296"/>
    <w:rsid w:val="00F90702"/>
    <w:rsid w:val="00F92334"/>
    <w:rsid w:val="00F936F1"/>
    <w:rsid w:val="00FA0227"/>
    <w:rsid w:val="00FA2102"/>
    <w:rsid w:val="00FA2F3B"/>
    <w:rsid w:val="00FA51AB"/>
    <w:rsid w:val="00FA696D"/>
    <w:rsid w:val="00FB2096"/>
    <w:rsid w:val="00FB624D"/>
    <w:rsid w:val="00FB6B9C"/>
    <w:rsid w:val="00FC1C39"/>
    <w:rsid w:val="00FC20CB"/>
    <w:rsid w:val="00FC59FB"/>
    <w:rsid w:val="00FE2D67"/>
    <w:rsid w:val="00FE75A2"/>
    <w:rsid w:val="00FF75CF"/>
    <w:rsid w:val="00FF793E"/>
    <w:rsid w:val="3FF7A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88029"/>
  <w15:docId w15:val="{97984A61-A666-4FA5-8A65-8E43DC15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497"/>
    <w:rPr>
      <w:rFonts w:ascii="Arial" w:hAnsi="Arial"/>
    </w:rPr>
  </w:style>
  <w:style w:type="paragraph" w:styleId="Heading1">
    <w:name w:val="heading 1"/>
    <w:aliases w:val="AEDC Heading 11"/>
    <w:basedOn w:val="Normal"/>
    <w:next w:val="Normal"/>
    <w:link w:val="Heading1Char"/>
    <w:uiPriority w:val="9"/>
    <w:qFormat/>
    <w:rsid w:val="00C67497"/>
    <w:pPr>
      <w:keepNext/>
      <w:keepLines/>
      <w:spacing w:before="240" w:after="120"/>
      <w:outlineLvl w:val="0"/>
    </w:pPr>
    <w:rPr>
      <w:rFonts w:eastAsiaTheme="majorEastAsia" w:cstheme="majorBidi"/>
      <w:b/>
      <w:color w:val="15578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0754"/>
    <w:pPr>
      <w:keepNext/>
      <w:keepLines/>
      <w:spacing w:before="80" w:after="40"/>
      <w:outlineLvl w:val="1"/>
    </w:pPr>
    <w:rPr>
      <w:rFonts w:eastAsiaTheme="majorEastAsia" w:cstheme="majorBidi"/>
      <w:color w:val="1C75B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2FF0"/>
    <w:pPr>
      <w:keepNext/>
      <w:keepLines/>
      <w:spacing w:before="60" w:after="40"/>
      <w:outlineLvl w:val="2"/>
    </w:pPr>
    <w:rPr>
      <w:rFonts w:eastAsiaTheme="majorEastAsia" w:cstheme="majorBidi"/>
      <w:b/>
      <w:color w:val="1C75BC"/>
      <w:sz w:val="23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0754"/>
    <w:pPr>
      <w:keepNext/>
      <w:keepLines/>
      <w:spacing w:before="40" w:after="20"/>
      <w:outlineLvl w:val="3"/>
    </w:pPr>
    <w:rPr>
      <w:rFonts w:eastAsiaTheme="majorEastAsia" w:cstheme="majorBidi"/>
      <w:i/>
      <w:iCs/>
      <w:color w:val="15578C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8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818"/>
  </w:style>
  <w:style w:type="paragraph" w:styleId="Footer">
    <w:name w:val="footer"/>
    <w:basedOn w:val="Normal"/>
    <w:link w:val="FooterChar"/>
    <w:uiPriority w:val="99"/>
    <w:unhideWhenUsed/>
    <w:rsid w:val="004208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818"/>
  </w:style>
  <w:style w:type="character" w:customStyle="1" w:styleId="Heading1Char">
    <w:name w:val="Heading 1 Char"/>
    <w:aliases w:val="AEDC Heading 11 Char"/>
    <w:basedOn w:val="DefaultParagraphFont"/>
    <w:link w:val="Heading1"/>
    <w:uiPriority w:val="9"/>
    <w:rsid w:val="00C67497"/>
    <w:rPr>
      <w:rFonts w:ascii="Arial" w:eastAsiaTheme="majorEastAsia" w:hAnsi="Arial" w:cstheme="majorBidi"/>
      <w:b/>
      <w:color w:val="15578C" w:themeColor="accent1" w:themeShade="BF"/>
      <w:sz w:val="32"/>
      <w:szCs w:val="32"/>
    </w:rPr>
  </w:style>
  <w:style w:type="paragraph" w:customStyle="1" w:styleId="AEDCHeading1">
    <w:name w:val="AEDC Heading 1"/>
    <w:basedOn w:val="Heading1"/>
    <w:next w:val="AEDCBodyText"/>
    <w:qFormat/>
    <w:rsid w:val="00382C2D"/>
    <w:pPr>
      <w:spacing w:line="288" w:lineRule="auto"/>
    </w:pPr>
    <w:rPr>
      <w:color w:val="00883E"/>
    </w:rPr>
  </w:style>
  <w:style w:type="paragraph" w:customStyle="1" w:styleId="AEDCBodyText">
    <w:name w:val="AEDC Body Text"/>
    <w:basedOn w:val="Normal"/>
    <w:qFormat/>
    <w:rsid w:val="00B20844"/>
    <w:pPr>
      <w:spacing w:line="288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30754"/>
    <w:rPr>
      <w:rFonts w:ascii="Arial" w:eastAsiaTheme="majorEastAsia" w:hAnsi="Arial" w:cstheme="majorBidi"/>
      <w:color w:val="1C75B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2FF0"/>
    <w:rPr>
      <w:rFonts w:ascii="Arial" w:eastAsiaTheme="majorEastAsia" w:hAnsi="Arial" w:cstheme="majorBidi"/>
      <w:b/>
      <w:color w:val="1C75BC"/>
      <w:sz w:val="23"/>
      <w:szCs w:val="24"/>
    </w:rPr>
  </w:style>
  <w:style w:type="paragraph" w:customStyle="1" w:styleId="AEDCHeading2">
    <w:name w:val="AEDC Heading 2"/>
    <w:basedOn w:val="Heading2"/>
    <w:qFormat/>
    <w:rsid w:val="00382C2D"/>
    <w:pPr>
      <w:spacing w:line="288" w:lineRule="auto"/>
    </w:pPr>
    <w:rPr>
      <w:rFonts w:cs="Arial"/>
      <w:color w:val="00883E"/>
    </w:rPr>
  </w:style>
  <w:style w:type="paragraph" w:customStyle="1" w:styleId="AEDCHeading3">
    <w:name w:val="AEDC Heading 3"/>
    <w:basedOn w:val="Heading3"/>
    <w:qFormat/>
    <w:rsid w:val="00382C2D"/>
    <w:rPr>
      <w:color w:val="00883E"/>
    </w:rPr>
  </w:style>
  <w:style w:type="paragraph" w:styleId="Title">
    <w:name w:val="Title"/>
    <w:basedOn w:val="Normal"/>
    <w:next w:val="Normal"/>
    <w:link w:val="TitleChar"/>
    <w:uiPriority w:val="10"/>
    <w:qFormat/>
    <w:rsid w:val="00632FF0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2FF0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AEDCTitle-Maintitletext">
    <w:name w:val="AEDC Title - Main title text"/>
    <w:basedOn w:val="Title"/>
    <w:qFormat/>
    <w:rsid w:val="00382C2D"/>
    <w:rPr>
      <w:b/>
      <w:noProof/>
      <w:color w:val="00883E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C72"/>
    <w:pPr>
      <w:numPr>
        <w:ilvl w:val="1"/>
      </w:numPr>
      <w:spacing w:before="120" w:after="80"/>
    </w:pPr>
    <w:rPr>
      <w:rFonts w:eastAsiaTheme="minorEastAsia"/>
      <w:b/>
      <w:color w:val="1C75BC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444C72"/>
    <w:rPr>
      <w:rFonts w:ascii="Arial" w:eastAsiaTheme="minorEastAsia" w:hAnsi="Arial"/>
      <w:b/>
      <w:color w:val="1C75BC"/>
      <w:spacing w:val="15"/>
      <w:sz w:val="36"/>
    </w:rPr>
  </w:style>
  <w:style w:type="paragraph" w:customStyle="1" w:styleId="AEDCminititleforAEDCname">
    <w:name w:val="AEDC mini title for AEDC name"/>
    <w:basedOn w:val="Subtitle"/>
    <w:qFormat/>
    <w:rsid w:val="00444C72"/>
    <w:pPr>
      <w:spacing w:before="40" w:after="40"/>
    </w:pPr>
    <w:rPr>
      <w:b w:val="0"/>
      <w:noProof/>
      <w:color w:val="000000" w:themeColor="text1"/>
      <w:sz w:val="28"/>
      <w:szCs w:val="28"/>
      <w:lang w:eastAsia="en-AU"/>
    </w:rPr>
  </w:style>
  <w:style w:type="paragraph" w:customStyle="1" w:styleId="AEDCTitle-Subtitle">
    <w:name w:val="AEDC Title - Subtitle"/>
    <w:basedOn w:val="Subtitle"/>
    <w:qFormat/>
    <w:rsid w:val="00382C2D"/>
    <w:rPr>
      <w:noProof/>
      <w:color w:val="auto"/>
      <w:lang w:eastAsia="en-AU"/>
    </w:rPr>
  </w:style>
  <w:style w:type="paragraph" w:customStyle="1" w:styleId="AEDCTitle-Minipre-titletext">
    <w:name w:val="AEDC Title - Mini pre-title text"/>
    <w:basedOn w:val="AEDCminititleforAEDCname"/>
    <w:qFormat/>
    <w:rsid w:val="00444C72"/>
  </w:style>
  <w:style w:type="character" w:customStyle="1" w:styleId="Heading4Char">
    <w:name w:val="Heading 4 Char"/>
    <w:basedOn w:val="DefaultParagraphFont"/>
    <w:link w:val="Heading4"/>
    <w:uiPriority w:val="9"/>
    <w:rsid w:val="00530754"/>
    <w:rPr>
      <w:rFonts w:ascii="Arial" w:eastAsiaTheme="majorEastAsia" w:hAnsi="Arial" w:cstheme="majorBidi"/>
      <w:i/>
      <w:iCs/>
      <w:color w:val="15578C" w:themeColor="accent1" w:themeShade="BF"/>
    </w:rPr>
  </w:style>
  <w:style w:type="paragraph" w:customStyle="1" w:styleId="AEDCURN-ForOfficialUseONLY">
    <w:name w:val="AEDC URN - For Official Use ONLY"/>
    <w:basedOn w:val="Normal"/>
    <w:qFormat/>
    <w:rsid w:val="0004617A"/>
    <w:pPr>
      <w:spacing w:after="0" w:line="240" w:lineRule="auto"/>
    </w:pPr>
    <w:rPr>
      <w:sz w:val="10"/>
      <w:szCs w:val="16"/>
    </w:rPr>
  </w:style>
  <w:style w:type="paragraph" w:customStyle="1" w:styleId="AEDCBodytext-BulletStyle">
    <w:name w:val="AEDC Body text - Bullet Style"/>
    <w:basedOn w:val="AEDCBodyText"/>
    <w:qFormat/>
    <w:rsid w:val="00BB3415"/>
    <w:pPr>
      <w:numPr>
        <w:numId w:val="2"/>
      </w:numPr>
      <w:spacing w:after="20"/>
    </w:pPr>
  </w:style>
  <w:style w:type="paragraph" w:customStyle="1" w:styleId="AEDCBodytext-LastBulletStyle">
    <w:name w:val="AEDC Body text - Last Bullet Style"/>
    <w:basedOn w:val="AEDCBodytext-BulletStyle"/>
    <w:next w:val="AEDCBodyText"/>
    <w:qFormat/>
    <w:rsid w:val="009E5357"/>
    <w:pPr>
      <w:spacing w:after="180"/>
      <w:ind w:left="714" w:hanging="357"/>
    </w:pPr>
  </w:style>
  <w:style w:type="character" w:styleId="Hyperlink">
    <w:name w:val="Hyperlink"/>
    <w:basedOn w:val="DefaultParagraphFont"/>
    <w:uiPriority w:val="99"/>
    <w:unhideWhenUsed/>
    <w:rsid w:val="00BB3415"/>
    <w:rPr>
      <w:rFonts w:ascii="Arial" w:hAnsi="Arial"/>
      <w:b/>
      <w:color w:val="auto"/>
      <w:u w:val="none"/>
    </w:rPr>
  </w:style>
  <w:style w:type="paragraph" w:customStyle="1" w:styleId="AEDCFooterText-Pagenumber">
    <w:name w:val="AEDC Footer Text - Page number"/>
    <w:basedOn w:val="Footer"/>
    <w:qFormat/>
    <w:rsid w:val="009360FB"/>
    <w:pPr>
      <w:jc w:val="right"/>
    </w:pPr>
    <w:rPr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4E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4ED1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4ED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B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50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ighlighttableheading">
    <w:name w:val="Highlight table heading"/>
    <w:basedOn w:val="AEDCHeading3"/>
    <w:qFormat/>
    <w:rsid w:val="0025046D"/>
    <w:pPr>
      <w:spacing w:line="240" w:lineRule="auto"/>
      <w:outlineLvl w:val="9"/>
    </w:pPr>
    <w:rPr>
      <w:noProof/>
      <w:color w:val="FFFFFF" w:themeColor="background2"/>
    </w:rPr>
  </w:style>
  <w:style w:type="paragraph" w:customStyle="1" w:styleId="Highlighttabletext">
    <w:name w:val="Highlight table text"/>
    <w:basedOn w:val="AEDCBodyText"/>
    <w:qFormat/>
    <w:rsid w:val="0025046D"/>
    <w:pPr>
      <w:spacing w:after="0"/>
    </w:pPr>
    <w:rPr>
      <w:noProof/>
      <w:color w:val="FFFFFF" w:themeColor="background2"/>
    </w:rPr>
  </w:style>
  <w:style w:type="paragraph" w:styleId="ListParagraph">
    <w:name w:val="List Paragraph"/>
    <w:basedOn w:val="Normal"/>
    <w:uiPriority w:val="34"/>
    <w:qFormat/>
    <w:rsid w:val="00AE2A05"/>
    <w:pPr>
      <w:ind w:left="720"/>
      <w:contextualSpacing/>
    </w:pPr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AA65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65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656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561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E52FF"/>
    <w:pPr>
      <w:spacing w:after="0" w:line="240" w:lineRule="auto"/>
    </w:pPr>
    <w:rPr>
      <w:rFonts w:ascii="Arial" w:hAnsi="Arial"/>
    </w:rPr>
  </w:style>
  <w:style w:type="paragraph" w:customStyle="1" w:styleId="pf0">
    <w:name w:val="pf0"/>
    <w:basedOn w:val="Normal"/>
    <w:rsid w:val="00101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10124A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803F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702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51AB"/>
    <w:rPr>
      <w:color w:val="978B8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5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2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communityservices.act.gov.au/ocyfs/children/australian-early-development-censu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AEDC Theme">
      <a:dk1>
        <a:srgbClr val="000000"/>
      </a:dk1>
      <a:lt1>
        <a:sysClr val="window" lastClr="FFFFFF"/>
      </a:lt1>
      <a:dk2>
        <a:srgbClr val="1C75BC"/>
      </a:dk2>
      <a:lt2>
        <a:srgbClr val="FFFFFF"/>
      </a:lt2>
      <a:accent1>
        <a:srgbClr val="1C75BC"/>
      </a:accent1>
      <a:accent2>
        <a:srgbClr val="F26723"/>
      </a:accent2>
      <a:accent3>
        <a:srgbClr val="00883E"/>
      </a:accent3>
      <a:accent4>
        <a:srgbClr val="978B82"/>
      </a:accent4>
      <a:accent5>
        <a:srgbClr val="E81E25"/>
      </a:accent5>
      <a:accent6>
        <a:srgbClr val="FFCB05"/>
      </a:accent6>
      <a:hlink>
        <a:srgbClr val="0094EF"/>
      </a:hlink>
      <a:folHlink>
        <a:srgbClr val="978B8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/>
      <a:lstStyle/>
      <a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a:style>
    </a:spDef>
    <a:txDef>
      <a:spPr>
        <a:solidFill>
          <a:srgbClr val="00883E"/>
        </a:solidFill>
        <a:ln/>
      </a:spPr>
      <a:bodyPr rot="0" spcFirstLastPara="0" vertOverflow="overflow" horzOverflow="overflow" vert="horz" wrap="none" lIns="91440" tIns="45720" rIns="91440" bIns="4572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67bf44-e0d6-48d0-bb51-f0b455915d13">
      <Terms xmlns="http://schemas.microsoft.com/office/infopath/2007/PartnerControls"/>
    </lcf76f155ced4ddcb4097134ff3c332f>
    <TaxCatchAll xmlns="3f6d8dd6-34d2-4095-95be-2f96eb14c3a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81237160BAA4694BD806BC615071C" ma:contentTypeVersion="15" ma:contentTypeDescription="Create a new document." ma:contentTypeScope="" ma:versionID="e9a64b4d7a6e55bc1b878745e5d9a0d8">
  <xsd:schema xmlns:xsd="http://www.w3.org/2001/XMLSchema" xmlns:xs="http://www.w3.org/2001/XMLSchema" xmlns:p="http://schemas.microsoft.com/office/2006/metadata/properties" xmlns:ns2="2967bf44-e0d6-48d0-bb51-f0b455915d13" xmlns:ns3="3f6d8dd6-34d2-4095-95be-2f96eb14c3a4" targetNamespace="http://schemas.microsoft.com/office/2006/metadata/properties" ma:root="true" ma:fieldsID="04005e7bf67fcd48fc5c610d2a3dea22" ns2:_="" ns3:_="">
    <xsd:import namespace="2967bf44-e0d6-48d0-bb51-f0b455915d13"/>
    <xsd:import namespace="3f6d8dd6-34d2-4095-95be-2f96eb14c3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7bf44-e0d6-48d0-bb51-f0b455915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32ba9fb-117d-4a5c-9dda-ba27611682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d8dd6-34d2-4095-95be-2f96eb14c3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997df65-d390-43a4-926d-9427af4adf19}" ma:internalName="TaxCatchAll" ma:showField="CatchAllData" ma:web="3f6d8dd6-34d2-4095-95be-2f96eb14c3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ECA6C1-BD72-489A-A76C-B0D301AFC2D7}">
  <ds:schemaRefs>
    <ds:schemaRef ds:uri="http://schemas.microsoft.com/office/2006/documentManagement/types"/>
    <ds:schemaRef ds:uri="3f6d8dd6-34d2-4095-95be-2f96eb14c3a4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2967bf44-e0d6-48d0-bb51-f0b455915d1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ACA3C30-B5BE-47D3-8C41-5C5811735A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665669-90B7-40CC-97F8-3687F223F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7bf44-e0d6-48d0-bb51-f0b455915d13"/>
    <ds:schemaRef ds:uri="3f6d8dd6-34d2-4095-95be-2f96eb14c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2F23E8-C165-4265-B2C7-D8DF4D7121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1289</Words>
  <Characters>7348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Barrett</dc:creator>
  <cp:keywords/>
  <cp:lastModifiedBy>Thoa Menyen</cp:lastModifiedBy>
  <cp:revision>2</cp:revision>
  <dcterms:created xsi:type="dcterms:W3CDTF">2022-12-22T03:03:00Z</dcterms:created>
  <dcterms:modified xsi:type="dcterms:W3CDTF">2022-12-22T03:03:00Z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0x01010005481237160BAA4694BD806BC615071C</vt:lpwstr>
  </property>
  <property fmtid="{D5CDD505-2E9C-101B-9397-08002B2CF9AE}" pid="3" name="MediaServiceImageTags">
    <vt:lpwstr/>
  </property>
  <property fmtid="{D5CDD505-2E9C-101B-9397-08002B2CF9AE}" pid="4" name="MSIP_Label_bf6fef03-d487-4433-8e43-6b81c0a1b7be_Enabled">
    <vt:lpwstr>true</vt:lpwstr>
  </property>
  <property fmtid="{D5CDD505-2E9C-101B-9397-08002B2CF9AE}" pid="5" name="MSIP_Label_bf6fef03-d487-4433-8e43-6b81c0a1b7be_SetDate">
    <vt:lpwstr>2022-11-10T00:13:36Z</vt:lpwstr>
  </property>
  <property fmtid="{D5CDD505-2E9C-101B-9397-08002B2CF9AE}" pid="6" name="MSIP_Label_bf6fef03-d487-4433-8e43-6b81c0a1b7be_Method">
    <vt:lpwstr>Standard</vt:lpwstr>
  </property>
  <property fmtid="{D5CDD505-2E9C-101B-9397-08002B2CF9AE}" pid="7" name="MSIP_Label_bf6fef03-d487-4433-8e43-6b81c0a1b7be_Name">
    <vt:lpwstr>Unclassified</vt:lpwstr>
  </property>
  <property fmtid="{D5CDD505-2E9C-101B-9397-08002B2CF9AE}" pid="8" name="MSIP_Label_bf6fef03-d487-4433-8e43-6b81c0a1b7be_SiteId">
    <vt:lpwstr>1daf5147-a543-4707-a2fb-2acf0b2a3936</vt:lpwstr>
  </property>
  <property fmtid="{D5CDD505-2E9C-101B-9397-08002B2CF9AE}" pid="9" name="MSIP_Label_bf6fef03-d487-4433-8e43-6b81c0a1b7be_ActionId">
    <vt:lpwstr>0b115287-b224-461e-86c1-9c030099115c</vt:lpwstr>
  </property>
  <property fmtid="{D5CDD505-2E9C-101B-9397-08002B2CF9AE}" pid="10" name="MSIP_Label_bf6fef03-d487-4433-8e43-6b81c0a1b7be_ContentBits">
    <vt:lpwstr>0</vt:lpwstr>
  </property>
  <property fmtid="{D5CDD505-2E9C-101B-9397-08002B2CF9AE}" pid="11" name="MSIP_Label_79d889eb-932f-4752-8739-64d25806ef64_Enabled">
    <vt:lpwstr>true</vt:lpwstr>
  </property>
  <property fmtid="{D5CDD505-2E9C-101B-9397-08002B2CF9AE}" pid="12" name="MSIP_Label_79d889eb-932f-4752-8739-64d25806ef64_SetDate">
    <vt:lpwstr>2022-12-14T22:31:01Z</vt:lpwstr>
  </property>
  <property fmtid="{D5CDD505-2E9C-101B-9397-08002B2CF9AE}" pid="13" name="MSIP_Label_79d889eb-932f-4752-8739-64d25806ef64_Method">
    <vt:lpwstr>Privileged</vt:lpwstr>
  </property>
  <property fmtid="{D5CDD505-2E9C-101B-9397-08002B2CF9AE}" pid="14" name="MSIP_Label_79d889eb-932f-4752-8739-64d25806ef64_Name">
    <vt:lpwstr>79d889eb-932f-4752-8739-64d25806ef64</vt:lpwstr>
  </property>
  <property fmtid="{D5CDD505-2E9C-101B-9397-08002B2CF9AE}" pid="15" name="MSIP_Label_79d889eb-932f-4752-8739-64d25806ef64_SiteId">
    <vt:lpwstr>dd0cfd15-4558-4b12-8bad-ea26984fc417</vt:lpwstr>
  </property>
  <property fmtid="{D5CDD505-2E9C-101B-9397-08002B2CF9AE}" pid="16" name="MSIP_Label_79d889eb-932f-4752-8739-64d25806ef64_ActionId">
    <vt:lpwstr>06e9484e-7b10-4e8a-804a-a541782f3392</vt:lpwstr>
  </property>
  <property fmtid="{D5CDD505-2E9C-101B-9397-08002B2CF9AE}" pid="17" name="MSIP_Label_79d889eb-932f-4752-8739-64d25806ef64_ContentBits">
    <vt:lpwstr>0</vt:lpwstr>
  </property>
</Properties>
</file>